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34" w:after="0"/>
        <w:ind w:left="0" w:right="240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8" w:lineRule="auto" w:before="20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6"/>
        </w:rPr>
        <w:t>ACT,  No.  45  OF  2022</w:t>
      </w:r>
    </w:p>
    <w:p>
      <w:pPr>
        <w:autoSpaceDN w:val="0"/>
        <w:autoSpaceDE w:val="0"/>
        <w:widowControl/>
        <w:spacing w:line="235" w:lineRule="auto" w:before="926" w:after="0"/>
        <w:ind w:left="0" w:right="284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19th of  December, 2022]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1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December 23, 2022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16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55.00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32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8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19th of December, 2022]</w:t>
      </w:r>
    </w:p>
    <w:p>
      <w:pPr>
        <w:autoSpaceDN w:val="0"/>
        <w:autoSpaceDE w:val="0"/>
        <w:widowControl/>
        <w:spacing w:line="238" w:lineRule="auto" w:before="23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 7/2022</w:t>
      </w:r>
    </w:p>
    <w:p>
      <w:pPr>
        <w:autoSpaceDN w:val="0"/>
        <w:autoSpaceDE w:val="0"/>
        <w:widowControl/>
        <w:spacing w:line="245" w:lineRule="auto" w:before="238" w:after="0"/>
        <w:ind w:left="2304" w:right="37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45" w:lineRule="auto" w:before="238" w:after="17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Inland Revenue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45 of 2022.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date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5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(other than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20"/>
        </w:rPr>
        <w:t>A’,</w:t>
      </w:r>
      <w:r>
        <w:rPr>
          <w:rFonts w:ascii="Times" w:hAnsi="Times" w:eastAsia="Times"/>
          <w:b w:val="0"/>
          <w:i/>
          <w:color w:val="000000"/>
          <w:sz w:val="20"/>
        </w:rPr>
        <w:t>Table ‘B’ and Table ‘C’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the date on which the certificate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Speaker is endorsed thereon.</w:t>
      </w:r>
    </w:p>
    <w:p>
      <w:pPr>
        <w:autoSpaceDN w:val="0"/>
        <w:autoSpaceDE w:val="0"/>
        <w:widowControl/>
        <w:spacing w:line="245" w:lineRule="auto" w:before="236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‘A’</w:t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have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April 1, </w:t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45" w:lineRule="auto" w:before="23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‘B’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come into operation on October 1, </w:t>
      </w:r>
      <w:r>
        <w:rPr>
          <w:rFonts w:ascii="Times" w:hAnsi="Times" w:eastAsia="Times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45" w:lineRule="auto" w:before="236" w:after="164"/>
        <w:ind w:left="1438" w:right="2782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provisions of sections referred to in </w:t>
      </w:r>
      <w:r>
        <w:rPr>
          <w:rFonts w:ascii="Times" w:hAnsi="Times" w:eastAsia="Times"/>
          <w:b w:val="0"/>
          <w:i/>
          <w:color w:val="000000"/>
          <w:sz w:val="20"/>
        </w:rPr>
        <w:t>Table ‘C’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come into operation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respective dates specified in the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87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Inland Revenue Act, No. 24 of 2017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24 of 2017</w:t>
            </w:r>
          </w:p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providing” of the words “payments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providing”;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484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“retirement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 received” of the words “retirement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payments received”; and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30" w:after="0"/>
        <w:ind w:left="36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paragraph (i)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“the employment;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and” of the words “the employment; and”;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230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(3) of that section-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30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“subsection (2));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and” of the words “subsection (2));”;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30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“approved by the Commissioner-General;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and”; and</w:t>
      </w:r>
    </w:p>
    <w:p>
      <w:pPr>
        <w:autoSpaceDN w:val="0"/>
        <w:tabs>
          <w:tab w:pos="4002" w:val="left"/>
        </w:tabs>
        <w:autoSpaceDE w:val="0"/>
        <w:widowControl/>
        <w:spacing w:line="245" w:lineRule="auto" w:before="230" w:after="0"/>
        <w:ind w:left="36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45" w:lineRule="auto" w:before="230" w:after="170"/>
        <w:ind w:left="4482" w:right="141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retirement payments received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of the retirement from employment,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condition that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retirement contributions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already been considered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purposes and the employee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paid tax on such contributions in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previous year of 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3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(iv)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 “expenditure”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“expenditure or any other deduction”;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498" w:after="208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(x)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“the Commissioner-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General.” of the words “the Commissioner-General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tax or levy which is not allowed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in calculating a person’s income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any other written law.”.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“where the debt obligation was incurred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borrowing money, the money is used during the year or was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used”, of the words “the money borrowed under such debt </w:t>
      </w:r>
      <w:r>
        <w:rPr>
          <w:rFonts w:ascii="Times" w:hAnsi="Times" w:eastAsia="Times"/>
          <w:b w:val="0"/>
          <w:i w:val="0"/>
          <w:color w:val="000000"/>
          <w:sz w:val="20"/>
        </w:rPr>
        <w:t>obligation was used”.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subsection (4)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subsection (5) of that section; and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54" w:lineRule="auto" w:before="266" w:after="0"/>
        <w:ind w:left="2158" w:right="278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In the event of the written down value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(2) is zero for a depreciable asset,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subsection (2),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deduction for improvement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deducted in equal amounts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apportioned over-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7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twelve years of assessment, for a Class 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depreciable asset;</w:t>
      </w:r>
    </w:p>
    <w:p>
      <w:pPr>
        <w:autoSpaceDN w:val="0"/>
        <w:tabs>
          <w:tab w:pos="2638" w:val="left"/>
        </w:tabs>
        <w:autoSpaceDE w:val="0"/>
        <w:widowControl/>
        <w:spacing w:line="247" w:lineRule="auto" w:before="27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years of assessment, for other Classes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depreciable assets,</w:t>
      </w:r>
    </w:p>
    <w:p>
      <w:pPr>
        <w:autoSpaceDN w:val="0"/>
        <w:autoSpaceDE w:val="0"/>
        <w:widowControl/>
        <w:spacing w:line="247" w:lineRule="auto" w:before="270" w:after="0"/>
        <w:ind w:left="2138" w:right="2736" w:firstLine="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the year of assessment in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expenditure was incurred.”.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0" w:lineRule="auto" w:before="268" w:after="0"/>
              <w:ind w:left="16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3522" w:right="14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“the Capital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allowances” of the words and figures “subject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subsections (3) and (3A), the Capital allowances”;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82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59" w:lineRule="auto" w:before="280" w:after="218"/>
        <w:ind w:left="3522" w:right="1414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“(3A) The total of the Capital allowances granted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calculated under the Fourth Schedule to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respect of a depreciable asset shall not exceed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cost of such depreciable asset in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circumstances.”.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2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and subsection (2)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section,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subsections: -</w:t>
      </w:r>
    </w:p>
    <w:p>
      <w:pPr>
        <w:autoSpaceDN w:val="0"/>
        <w:tabs>
          <w:tab w:pos="4002" w:val="left"/>
        </w:tabs>
        <w:autoSpaceDE w:val="0"/>
        <w:widowControl/>
        <w:spacing w:line="252" w:lineRule="auto" w:before="278" w:after="0"/>
        <w:ind w:left="350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financial costs deducted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calculating-</w:t>
      </w:r>
    </w:p>
    <w:p>
      <w:pPr>
        <w:autoSpaceDN w:val="0"/>
        <w:autoSpaceDE w:val="0"/>
        <w:widowControl/>
        <w:spacing w:line="262" w:lineRule="auto" w:before="282" w:after="0"/>
        <w:ind w:left="4482" w:right="14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income of an entity (other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from conducting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business or investment, for any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prior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shall not exceed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of financial costs attributable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financial instruments within the limit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0" w:lineRule="auto" w:before="494" w:after="0"/>
        <w:ind w:left="3118" w:right="278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income of a company (other than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which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in or outside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having an issued share capital as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ends, from conducting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investment for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l, 2021, shall not exceed the limit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(2).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limit shall be computed according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formula: -</w:t>
      </w:r>
    </w:p>
    <w:p>
      <w:pPr>
        <w:autoSpaceDN w:val="0"/>
        <w:autoSpaceDE w:val="0"/>
        <w:widowControl/>
        <w:spacing w:line="235" w:lineRule="auto" w:before="254" w:after="0"/>
        <w:ind w:left="0" w:right="58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  A x B</w:t>
      </w:r>
    </w:p>
    <w:p>
      <w:pPr>
        <w:autoSpaceDN w:val="0"/>
        <w:autoSpaceDE w:val="0"/>
        <w:widowControl/>
        <w:spacing w:line="235" w:lineRule="auto" w:before="254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45" w:lineRule="auto" w:before="254" w:after="0"/>
        <w:ind w:left="3478" w:right="2782" w:hanging="37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‘A’ is the total of the issued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reserves of the entity;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254" w:after="0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‘B’ is-</w:t>
      </w:r>
    </w:p>
    <w:p>
      <w:pPr>
        <w:autoSpaceDN w:val="0"/>
        <w:autoSpaceDE w:val="0"/>
        <w:widowControl/>
        <w:spacing w:line="245" w:lineRule="auto" w:before="254" w:after="0"/>
        <w:ind w:left="345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case of a manufacturing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entity, the number 3; and</w:t>
      </w:r>
    </w:p>
    <w:p>
      <w:pPr>
        <w:autoSpaceDN w:val="0"/>
        <w:autoSpaceDE w:val="0"/>
        <w:widowControl/>
        <w:spacing w:line="245" w:lineRule="auto" w:before="254" w:after="0"/>
        <w:ind w:left="383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case of an entity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manufacturing entity,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number 4;</w:t>
      </w:r>
    </w:p>
    <w:p>
      <w:pPr>
        <w:autoSpaceDN w:val="0"/>
        <w:tabs>
          <w:tab w:pos="2698" w:val="left"/>
        </w:tabs>
        <w:autoSpaceDE w:val="0"/>
        <w:widowControl/>
        <w:spacing w:line="245" w:lineRule="auto" w:before="254" w:after="0"/>
        <w:ind w:left="2292" w:right="56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—   X 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35" w:lineRule="auto" w:before="254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autoSpaceDE w:val="0"/>
        <w:widowControl/>
        <w:spacing w:line="235" w:lineRule="auto" w:before="25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‘A’ = financial cost of the year;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autoSpaceDE w:val="0"/>
        <w:widowControl/>
        <w:spacing w:line="247" w:lineRule="auto" w:before="512" w:after="0"/>
        <w:ind w:left="4842" w:right="1418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‘B’ =value of financial instruments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financial cost incurred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during the year; and</w:t>
      </w:r>
    </w:p>
    <w:p>
      <w:pPr>
        <w:autoSpaceDN w:val="0"/>
        <w:autoSpaceDE w:val="0"/>
        <w:widowControl/>
        <w:spacing w:line="247" w:lineRule="auto" w:before="252" w:after="0"/>
        <w:ind w:left="4842" w:right="1418" w:hanging="3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‘C’ = 4 x total of the issued share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and reserves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as at the end of the year.”;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04" w:val="left"/>
          <w:tab w:pos="3522" w:val="left"/>
        </w:tabs>
        <w:autoSpaceDE w:val="0"/>
        <w:widowControl/>
        <w:spacing w:line="245" w:lineRule="auto" w:before="252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“for the year.” of the following: -</w:t>
      </w:r>
    </w:p>
    <w:p>
      <w:pPr>
        <w:autoSpaceDN w:val="0"/>
        <w:autoSpaceDE w:val="0"/>
        <w:widowControl/>
        <w:spacing w:line="238" w:lineRule="auto" w:before="252" w:after="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“for the year:</w:t>
      </w:r>
    </w:p>
    <w:p>
      <w:pPr>
        <w:autoSpaceDN w:val="0"/>
        <w:autoSpaceDE w:val="0"/>
        <w:widowControl/>
        <w:spacing w:line="247" w:lineRule="auto" w:before="252" w:after="192"/>
        <w:ind w:left="376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in the case where there is no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cost incurred during the year,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unused limitation for the above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purpose, the limit referred to in subsection (2)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calculated by using the same amounts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immediately preceding year and so 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45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 calculating exempt amounts.”,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as follows: -</w:t>
      </w:r>
    </w:p>
    <w:p>
      <w:pPr>
        <w:autoSpaceDN w:val="0"/>
        <w:autoSpaceDE w:val="0"/>
        <w:widowControl/>
        <w:spacing w:line="238" w:lineRule="auto" w:before="252" w:after="0"/>
        <w:ind w:left="0" w:right="2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calculating exempt amounts:</w:t>
      </w:r>
    </w:p>
    <w:p>
      <w:pPr>
        <w:autoSpaceDN w:val="0"/>
        <w:autoSpaceDE w:val="0"/>
        <w:widowControl/>
        <w:spacing w:line="250" w:lineRule="auto" w:before="252" w:after="0"/>
        <w:ind w:left="40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person had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a loss, in relation to a business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it had been a profit would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taxable at a rate specified under this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rate is subsequently increased, such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considered as being taxable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reduced rate.”;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52" w:after="0"/>
        <w:ind w:left="3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(4) of that section-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4" w:after="0"/>
        <w:ind w:left="2638" w:right="278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“income from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investment.”, of the words “income from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investment; and”;</w:t>
      </w:r>
    </w:p>
    <w:p>
      <w:pPr>
        <w:autoSpaceDN w:val="0"/>
        <w:autoSpaceDE w:val="0"/>
        <w:widowControl/>
        <w:spacing w:line="247" w:lineRule="auto" w:before="212" w:after="0"/>
        <w:ind w:left="2638" w:right="278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47" w:lineRule="auto" w:before="212" w:after="0"/>
        <w:ind w:left="3118" w:right="278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unrelieved losses from an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deducted only within the six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assessment commencing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date of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succeeding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such losses were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incurred.”;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16" w:after="152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“by any loss on the disposal of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asset.”, of the words “by any loss.”.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102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46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(5) of that section by the repeal of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subsection and the substitution therefor,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paragraph: -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time of the transfer-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April 1, 2021-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118" w:val="left"/>
        </w:tabs>
        <w:autoSpaceDE w:val="0"/>
        <w:widowControl/>
        <w:spacing w:line="245" w:lineRule="auto" w:before="152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and the associate were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residents; and</w:t>
      </w:r>
    </w:p>
    <w:p>
      <w:pPr>
        <w:autoSpaceDN w:val="0"/>
        <w:autoSpaceDE w:val="0"/>
        <w:widowControl/>
        <w:spacing w:line="245" w:lineRule="auto" w:before="212" w:after="0"/>
        <w:ind w:left="3118" w:right="2782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associate or, in the case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associate partnership, none of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partners is exempt from income tax; and</w:t>
      </w:r>
    </w:p>
    <w:p>
      <w:pPr>
        <w:autoSpaceDN w:val="0"/>
        <w:tabs>
          <w:tab w:pos="2638" w:val="left"/>
        </w:tabs>
        <w:autoSpaceDE w:val="0"/>
        <w:widowControl/>
        <w:spacing w:line="235" w:lineRule="auto" w:before="19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2021-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216" w:after="0"/>
        <w:ind w:left="26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and the associates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autoSpaceDE w:val="0"/>
        <w:widowControl/>
        <w:spacing w:line="259" w:lineRule="auto" w:before="506" w:after="0"/>
        <w:ind w:left="4462" w:right="1436" w:hanging="4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an associate partnership,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of its partners, or the associate,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 exempt from income tax; and</w:t>
      </w:r>
    </w:p>
    <w:p>
      <w:pPr>
        <w:autoSpaceDN w:val="0"/>
        <w:autoSpaceDE w:val="0"/>
        <w:widowControl/>
        <w:spacing w:line="266" w:lineRule="auto" w:before="292" w:after="234"/>
        <w:ind w:left="4462" w:right="1436" w:hanging="44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tax rate appliable on the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 from the realisation of an asset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(4) is equal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the tax rate which is applicable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gain of the associate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realisation of such asset;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“its business or investment for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 (sections 6 and 7).” of the words “its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business, investment or other income for that year of </w:t>
      </w:r>
      <w:r>
        <w:rPr>
          <w:rFonts w:ascii="Times" w:hAnsi="Times" w:eastAsia="Times"/>
          <w:b w:val="0"/>
          <w:i w:val="0"/>
          <w:color w:val="000000"/>
          <w:sz w:val="20"/>
        </w:rPr>
        <w:t>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66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(4)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 “issued to make</w:t>
            </w:r>
          </w:p>
        </w:tc>
      </w:tr>
    </w:tbl>
    <w:p>
      <w:pPr>
        <w:autoSpaceDN w:val="0"/>
        <w:autoSpaceDE w:val="0"/>
        <w:widowControl/>
        <w:spacing w:line="264" w:lineRule="auto" w:before="4" w:after="234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 provisions relating to bad and doubtful debts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”, of the words and figures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“issued for classification, recognition and measurement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credit facilities under the powers conferred by,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46, section 46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subsection (1) of section 76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69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56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69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(4)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“in Sri Lanka; or”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“in Sri Lanka; or”.</w:t>
            </w:r>
          </w:p>
          <w:p>
            <w:pPr>
              <w:autoSpaceDN w:val="0"/>
              <w:autoSpaceDE w:val="0"/>
              <w:widowControl/>
              <w:spacing w:line="264" w:lineRule="auto" w:before="294" w:after="0"/>
              <w:ind w:left="14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 “subsection (3)”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 and figure “subsection (2)”.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73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1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62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that paragraph,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21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“Sri Lanka; or”,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“Sri Lanka;”;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sub-paragraph (ii)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“permanent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establishment;” of the words “permanent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establishment; or”; and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sub-paragraph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 of that paragraph, of the following new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50" w:lineRule="auto" w:before="260" w:after="202"/>
        <w:ind w:left="2638" w:right="2782" w:hanging="5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“(iii) paid by the Government of Sri Lanka,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such payments made by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on behalf of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5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“from April 1, 2020 on”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“from April 1, 2020, but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January 1, 2023 on”;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52" w:lineRule="auto" w:before="260" w:after="0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An employer shall deduct the 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with effect from January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 on any payment which falls under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made to his employee, as specified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496" w:after="156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and figure “subsection (1)”,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“subsection (1) or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(1A)”.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0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22" w:right="696" w:hanging="38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in subsection (1)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and figures “with effect from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2020, the taxpayer”, of the words and figures “with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 from April 1, 2020 but prior to January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2023, the taxpayer”; and</w:t>
            </w:r>
          </w:p>
        </w:tc>
      </w:tr>
    </w:tbl>
    <w:p>
      <w:pPr>
        <w:autoSpaceDN w:val="0"/>
        <w:tabs>
          <w:tab w:pos="3522" w:val="left"/>
        </w:tabs>
        <w:autoSpaceDE w:val="0"/>
        <w:widowControl/>
        <w:spacing w:line="245" w:lineRule="auto" w:before="158" w:after="0"/>
        <w:ind w:left="31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5" w:lineRule="auto" w:before="216" w:after="158"/>
        <w:ind w:left="3784" w:right="14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“(1A) Subject to section 83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of section 84, with effect from January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2023, a person shall deduct Advance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from the payment of dividend, interest,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discount, charge, natural resource payment, rent,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royalty or premium which has a source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Lanka, at the rate provided in paragraph 10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First 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(1A) of that section, by the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“a person shall.”,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“a person shall, prior to January 1, 2023”;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(1A)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 -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0"/>
        <w:ind w:left="376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subsections (2) and (3),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January 1, 2023, a person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 tax at the rate of 14% of the payment,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person pays a service fee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insurance premium with a source in Sri Lanka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non- resident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7" w:lineRule="auto" w:before="520" w:after="0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Subject to subsection (3), with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January 1, 2023, a person shall withhold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 at the rate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5% of the payment, where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pays a service fee with a source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 resident individual who is not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 of the payer –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272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teaching, lecturing, examining,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invigilating or supervising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examination;</w:t>
      </w:r>
    </w:p>
    <w:p>
      <w:pPr>
        <w:autoSpaceDN w:val="0"/>
        <w:tabs>
          <w:tab w:pos="3118" w:val="left"/>
        </w:tabs>
        <w:autoSpaceDE w:val="0"/>
        <w:widowControl/>
        <w:spacing w:line="252" w:lineRule="auto" w:before="274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commission or brokerage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insurance, sales or canvassing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agent; or</w:t>
      </w:r>
    </w:p>
    <w:p>
      <w:pPr>
        <w:autoSpaceDN w:val="0"/>
        <w:tabs>
          <w:tab w:pos="3118" w:val="left"/>
        </w:tabs>
        <w:autoSpaceDE w:val="0"/>
        <w:widowControl/>
        <w:spacing w:line="259" w:lineRule="auto" w:before="272" w:after="0"/>
        <w:ind w:left="272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services provided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in the capacity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service provider such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doctor, engineer, accountant, lawyer,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software developer, researcher,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or any individual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provider as may be prescribed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regulation:</w:t>
      </w:r>
    </w:p>
    <w:p>
      <w:pPr>
        <w:autoSpaceDN w:val="0"/>
        <w:autoSpaceDE w:val="0"/>
        <w:widowControl/>
        <w:spacing w:line="252" w:lineRule="auto" w:before="274" w:after="0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this subsection shall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a service payment which does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exceed Rs.100,000 per month.”;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2" w:after="212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 and figures “section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83;”, of the words and figures “section 83,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section 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87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(4)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 and figures “section 83,”, of the words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“section 83 or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87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88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</w:tr>
      <w:tr>
        <w:trPr>
          <w:trHeight w:hRule="exact" w:val="1062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0" w:after="0"/>
              <w:ind w:left="162" w:right="69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88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(1A) of that section, by the insertion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 of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paragraph: -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20" w:after="262"/>
        <w:ind w:left="29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January 1, 2023, dividends paid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resident company;”.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90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2" w:right="69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90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(1)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 and figures “section 83.”, of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following: -</w:t>
      </w:r>
    </w:p>
    <w:p>
      <w:pPr>
        <w:autoSpaceDN w:val="0"/>
        <w:autoSpaceDE w:val="0"/>
        <w:widowControl/>
        <w:spacing w:line="238" w:lineRule="auto" w:before="322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“section 83 or section 83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76" w:lineRule="auto" w:before="320" w:after="262"/>
        <w:ind w:left="3522" w:right="141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gains derived or expected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derived from the realisation of an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asset, during a year of assessment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for the purpose of quarterly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installments.”.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94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62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62" w:lineRule="auto" w:before="4" w:after="0"/>
        <w:ind w:left="13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 of that section-</w:t>
      </w:r>
    </w:p>
    <w:p>
      <w:pPr>
        <w:autoSpaceDN w:val="0"/>
        <w:tabs>
          <w:tab w:pos="4002" w:val="left"/>
        </w:tabs>
        <w:autoSpaceDE w:val="0"/>
        <w:widowControl/>
        <w:spacing w:line="274" w:lineRule="auto" w:before="322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 “section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2.”, of the words and figure “section 2; or”;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002" w:val="left"/>
        </w:tabs>
        <w:autoSpaceDE w:val="0"/>
        <w:widowControl/>
        <w:spacing w:line="271" w:lineRule="auto" w:before="320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5" w:lineRule="auto" w:before="488" w:after="4"/>
        <w:ind w:left="3136" w:right="2764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 individual whose tax payable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(1) of section 2 relates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2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exclusively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136" w:right="27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 where the employer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Advance Personal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under section 83A and no tax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payable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82.”;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0" w:after="182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“during the year.”, of the words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“during the year or where such person’s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employer has deducted Advance Personal Income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on his employment income,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83A.”.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4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120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(1A) of that section,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“exempted gains and profits.”,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120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80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“exempted gains and profits:</w:t>
      </w:r>
    </w:p>
    <w:p>
      <w:pPr>
        <w:autoSpaceDN w:val="0"/>
        <w:autoSpaceDE w:val="0"/>
        <w:widowControl/>
        <w:spacing w:line="245" w:lineRule="auto" w:before="240" w:after="170"/>
        <w:ind w:left="2176" w:right="2762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in the case where such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commonly incurred expenses or commonly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assets, on all business or investment activities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any expense or deduction cannot be separately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identified for the purpose of this subsection, it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to divide such expenses or deductions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proportionate basis (according to the proportion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turnover or proportion of asset usage) in preparing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financial statements.”.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72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123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3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123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“notice in writing-”,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“notice in writing or by electronic means-”;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5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(5)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 of the following new subsections: -</w:t>
      </w:r>
    </w:p>
    <w:p>
      <w:pPr>
        <w:autoSpaceDN w:val="0"/>
        <w:autoSpaceDE w:val="0"/>
        <w:widowControl/>
        <w:spacing w:line="245" w:lineRule="auto" w:before="240" w:after="0"/>
        <w:ind w:left="374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contrary in any other written law,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may, by notice, require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Commissioner-General of Elections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the names, addresses or National Identity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Card numbers of such persons as may be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such notice, and it shall be the duty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Elections to 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particulars to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  provide access to the records under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custody, to a tax official authorized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42" w:after="184"/>
        <w:ind w:left="374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(7)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written law, the Registrar-General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Companies shall provide information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on any changes or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in relation to the directors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registered with the Registrar-General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Companies, including the names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 of such directors, once in every six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323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134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133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(2)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“with notice, in writing,” of the words “with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Section 134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(4)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“with notice, in writing,” of the words “with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  <w:p>
            <w:pPr>
              <w:autoSpaceDN w:val="0"/>
              <w:autoSpaceDE w:val="0"/>
              <w:widowControl/>
              <w:spacing w:line="245" w:lineRule="auto" w:before="228" w:after="0"/>
              <w:ind w:left="182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135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(5)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“with notice, in writing,” of the words “with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notice, in writing or by electronic means,”.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136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125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151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36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163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19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136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that section,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 and figures “section 135.”,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words and figures “section 135, for any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ending prior to April 1, 2022 and within a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twelve months from the date on which the self-assessment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return was filed, for any year of assessment commencing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1, 2022.”.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28.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151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in subsection (3) of that section, by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words “in writing”, of the words “in writing or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 means”.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163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addition immediately after subsection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6" w:after="0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The amount of tax, any penalty and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as at the date of the certificate referred to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and any legal interest due on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stated in the certificate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certificate up to the date of the judgement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the tax that is due and payable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 -General.</w:t>
      </w:r>
    </w:p>
    <w:p>
      <w:pPr>
        <w:autoSpaceDN w:val="0"/>
        <w:autoSpaceDE w:val="0"/>
        <w:widowControl/>
        <w:spacing w:line="245" w:lineRule="auto" w:before="218" w:after="158"/>
        <w:ind w:left="21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proceedings instituted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1, 2023, under this section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completed within thirty months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production  of  the  certificate  referred  to 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176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176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substitution therefor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56" w:after="0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Procedures for the assessment, payment,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collection, and dispute of a tax shall apply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equally to penalties relating to a tax.”;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3484" w:val="left"/>
        </w:tabs>
        <w:autoSpaceDE w:val="0"/>
        <w:widowControl/>
        <w:spacing w:line="245" w:lineRule="auto" w:before="494" w:after="0"/>
        <w:ind w:left="307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(6)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45" w:lineRule="auto" w:before="224" w:after="166"/>
        <w:ind w:left="372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“(6A) For the purposes of subsection (6),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lawful to issue a single notice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stating the penalty charged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Chapter together with the tax and interest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in complying with the other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182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45" w:lineRule="auto" w:before="60" w:after="0"/>
              <w:ind w:left="18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182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</w:tr>
      <w:tr>
        <w:trPr>
          <w:trHeight w:hRule="exact" w:val="792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person”, of the words and figures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“For any year of assessment ending prior to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2023, a person”;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of the following new subsection: -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164"/>
        <w:ind w:left="3724" w:right="145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For any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or after April 1, 2023,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fails to maintain proper accounts, records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documents as required by this Act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for a penalty calculated as provided for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1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195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45" w:lineRule="auto" w:before="60" w:after="0"/>
              <w:ind w:left="18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195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“export” of that</w:t>
            </w:r>
          </w:p>
        </w:tc>
      </w:tr>
      <w:tr>
        <w:trPr>
          <w:trHeight w:hRule="exact" w:val="78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by the substitution for the word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“undertaking;”, of the words and figures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“undertaking, prior to April 1, 2022;”;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“Small and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Medium Enterprise” of that section, by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348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in 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definition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“the person’s or his”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person’s and his”;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158" w:val="left"/>
        </w:tabs>
        <w:autoSpaceDE w:val="0"/>
        <w:widowControl/>
        <w:spacing w:line="281" w:lineRule="auto" w:before="52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definition of the expression “specified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undertaking” of that section, by the substitution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definition, for the words “in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in foreign currency;”, of the following: -</w:t>
      </w:r>
    </w:p>
    <w:p>
      <w:pPr>
        <w:autoSpaceDN w:val="0"/>
        <w:autoSpaceDE w:val="0"/>
        <w:widowControl/>
        <w:spacing w:line="238" w:lineRule="auto" w:before="336" w:after="0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 Sri Lanka in foreign currency:</w:t>
      </w:r>
    </w:p>
    <w:p>
      <w:pPr>
        <w:autoSpaceDN w:val="0"/>
        <w:autoSpaceDE w:val="0"/>
        <w:widowControl/>
        <w:spacing w:line="286" w:lineRule="auto" w:before="336" w:after="278"/>
        <w:ind w:left="239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exporter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prevented from making payments in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 for services referred to in this paragraph,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any directive of the Central Bank,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exporter shall issue a confirmation of his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currency receipts;”.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66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First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9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 –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(1A) of that paragraph,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6" w:after="0"/>
        <w:ind w:left="26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2020, but prior to April 1, 2022”;</w:t>
      </w:r>
    </w:p>
    <w:p>
      <w:pPr>
        <w:autoSpaceDN w:val="0"/>
        <w:tabs>
          <w:tab w:pos="2638" w:val="left"/>
        </w:tabs>
        <w:autoSpaceDE w:val="0"/>
        <w:widowControl/>
        <w:spacing w:line="276" w:lineRule="auto" w:before="338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(1A) of that paragraph,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subparagraphs: -</w:t>
      </w:r>
    </w:p>
    <w:p>
      <w:pPr>
        <w:autoSpaceDN w:val="0"/>
        <w:autoSpaceDE w:val="0"/>
        <w:widowControl/>
        <w:spacing w:line="283" w:lineRule="auto" w:before="338" w:after="0"/>
        <w:ind w:left="2278" w:right="278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“(1B) Subject to the provisions of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(2), the taxable income of a resident or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individual for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2022 shall be 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autoSpaceDE w:val="0"/>
        <w:widowControl/>
        <w:spacing w:line="259" w:lineRule="auto" w:before="506" w:after="48"/>
        <w:ind w:left="4062" w:right="1418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Taxable income for the first nine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April 1, 2022:-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98.0" w:type="dxa"/>
      </w:tblPr>
      <w:tblGrid>
        <w:gridCol w:w="4510"/>
        <w:gridCol w:w="4510"/>
      </w:tblGrid>
      <w:tr>
        <w:trPr>
          <w:trHeight w:hRule="exact" w:val="358"/>
        </w:trPr>
        <w:tc>
          <w:tcPr>
            <w:tcW w:type="dxa" w:w="13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Taxable Income</w:t>
            </w:r>
          </w:p>
        </w:tc>
        <w:tc>
          <w:tcPr>
            <w:tcW w:type="dxa" w:w="1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Tax payable</w:t>
            </w:r>
          </w:p>
        </w:tc>
      </w:tr>
      <w:tr>
        <w:trPr>
          <w:trHeight w:hRule="exact" w:val="540"/>
        </w:trPr>
        <w:tc>
          <w:tcPr>
            <w:tcW w:type="dxa" w:w="13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2,250,000</w:t>
            </w:r>
          </w:p>
        </w:tc>
        <w:tc>
          <w:tcPr>
            <w:tcW w:type="dxa" w:w="1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6% of the amount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excess of Rs. 0</w:t>
            </w:r>
          </w:p>
        </w:tc>
      </w:tr>
      <w:tr>
        <w:trPr>
          <w:trHeight w:hRule="exact" w:val="1160"/>
        </w:trPr>
        <w:tc>
          <w:tcPr>
            <w:tcW w:type="dxa" w:w="13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2,250,000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not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4,500,000</w:t>
            </w:r>
          </w:p>
        </w:tc>
        <w:tc>
          <w:tcPr>
            <w:tcW w:type="dxa" w:w="1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50" w:right="6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135,000 plus 12%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2,250,000</w:t>
            </w:r>
          </w:p>
        </w:tc>
      </w:tr>
      <w:tr>
        <w:trPr>
          <w:trHeight w:hRule="exact" w:val="680"/>
        </w:trPr>
        <w:tc>
          <w:tcPr>
            <w:tcW w:type="dxa" w:w="13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4,500,000</w:t>
            </w:r>
          </w:p>
        </w:tc>
        <w:tc>
          <w:tcPr>
            <w:tcW w:type="dxa" w:w="19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150" w:right="6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405,000 plus 18%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4,500,000;</w:t>
            </w:r>
          </w:p>
        </w:tc>
      </w:tr>
    </w:tbl>
    <w:p>
      <w:pPr>
        <w:autoSpaceDN w:val="0"/>
        <w:autoSpaceDE w:val="0"/>
        <w:widowControl/>
        <w:spacing w:line="259" w:lineRule="auto" w:before="200" w:after="90"/>
        <w:ind w:left="4062" w:right="1418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Taxable income for the second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the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April 1, 2022:-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76.0" w:type="dxa"/>
      </w:tblPr>
      <w:tblGrid>
        <w:gridCol w:w="4510"/>
        <w:gridCol w:w="4510"/>
      </w:tblGrid>
      <w:tr>
        <w:trPr>
          <w:trHeight w:hRule="exact" w:val="300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Taxable Income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Tax payable</w:t>
            </w:r>
          </w:p>
        </w:tc>
      </w:tr>
      <w:tr>
        <w:trPr>
          <w:trHeight w:hRule="exact" w:val="438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125,000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6% of the amount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excess of Rs.0</w:t>
            </w:r>
          </w:p>
        </w:tc>
      </w:tr>
      <w:tr>
        <w:trPr>
          <w:trHeight w:hRule="exact" w:val="840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125,000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250,000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8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7,500 plus 12%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125,000</w:t>
            </w:r>
          </w:p>
        </w:tc>
      </w:tr>
      <w:tr>
        <w:trPr>
          <w:trHeight w:hRule="exact" w:val="840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250,000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375,000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8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22,500 plus 18%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250,000</w:t>
            </w:r>
          </w:p>
        </w:tc>
      </w:tr>
      <w:tr>
        <w:trPr>
          <w:trHeight w:hRule="exact" w:val="822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375,000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500,000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128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45,000 plus 24%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375,000</w:t>
            </w:r>
          </w:p>
        </w:tc>
      </w:tr>
      <w:tr>
        <w:trPr>
          <w:trHeight w:hRule="exact" w:val="858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4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500,000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625,000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4" w:after="0"/>
              <w:ind w:left="136" w:right="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75,000 plus 30%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500,000</w:t>
            </w:r>
          </w:p>
        </w:tc>
      </w:tr>
      <w:tr>
        <w:trPr>
          <w:trHeight w:hRule="exact" w:val="700"/>
        </w:trPr>
        <w:tc>
          <w:tcPr>
            <w:tcW w:type="dxa" w:w="14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625,000</w:t>
            </w:r>
          </w:p>
        </w:tc>
        <w:tc>
          <w:tcPr>
            <w:tcW w:type="dxa" w:w="180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112,500 plus 36%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amount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excess of Rs. 625,000;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47" w:lineRule="auto" w:before="494" w:after="136"/>
        <w:ind w:left="225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(1C) Subject to the provisions of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(2), the taxable income of a resident or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 for a year 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2023 shall be taxed at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4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Taxable Income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Tax payable</w:t>
            </w:r>
          </w:p>
        </w:tc>
      </w:tr>
      <w:tr>
        <w:trPr>
          <w:trHeight w:hRule="exact" w:val="500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9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500,000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1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6% of the amount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excess of Rs.0</w:t>
            </w:r>
          </w:p>
        </w:tc>
      </w:tr>
      <w:tr>
        <w:trPr>
          <w:trHeight w:hRule="exact" w:val="800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Rs. 500,000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not 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1,000,000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90" w:right="1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30,000 plus 12%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500,000</w:t>
            </w:r>
          </w:p>
        </w:tc>
      </w:tr>
      <w:tr>
        <w:trPr>
          <w:trHeight w:hRule="exact" w:val="1040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1,000,000 but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1,500,000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90" w:right="12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90,000 plus 18%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amount in excess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1,000,000</w:t>
            </w:r>
          </w:p>
        </w:tc>
      </w:tr>
      <w:tr>
        <w:trPr>
          <w:trHeight w:hRule="exact" w:val="1080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2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1,500,000 but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2,000,000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6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180,000 plus 24%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amount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excess of Rs.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1040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2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2,000,000 but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2,500,000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300,000 plus 30%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amount in excess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Rs. 2,000,000</w:t>
            </w:r>
          </w:p>
        </w:tc>
      </w:tr>
      <w:tr>
        <w:trPr>
          <w:trHeight w:hRule="exact" w:val="740"/>
        </w:trPr>
        <w:tc>
          <w:tcPr>
            <w:tcW w:type="dxa" w:w="1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2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Rs. 2,500,000</w:t>
            </w:r>
          </w:p>
        </w:tc>
        <w:tc>
          <w:tcPr>
            <w:tcW w:type="dxa" w:w="18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Rs. 450,000 plus 36%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amount in excess</w:t>
            </w:r>
          </w:p>
          <w:p>
            <w:pPr>
              <w:autoSpaceDN w:val="0"/>
              <w:autoSpaceDE w:val="0"/>
              <w:widowControl/>
              <w:spacing w:line="235" w:lineRule="auto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Rs. 2,500,000";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autoSpaceDE w:val="0"/>
        <w:widowControl/>
        <w:spacing w:line="262" w:lineRule="auto" w:before="506" w:after="0"/>
        <w:ind w:left="398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(5) of that 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“April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2021: -”, of the words and figures “April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2021, but prior to January 1, 2023: -”;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paragraph 3 of that Schedule,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of that paragraph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64" w:lineRule="auto" w:before="292" w:after="0"/>
        <w:ind w:left="3882" w:right="1436" w:firstLine="2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Subject to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trust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year of assessment to which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section 57 applies shall be taxed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 of –</w:t>
      </w:r>
    </w:p>
    <w:p>
      <w:pPr>
        <w:autoSpaceDN w:val="0"/>
        <w:autoSpaceDE w:val="0"/>
        <w:widowControl/>
        <w:spacing w:line="238" w:lineRule="auto" w:before="292" w:after="0"/>
        <w:ind w:left="0" w:right="19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24% prior to January 1, 2020;</w:t>
      </w:r>
    </w:p>
    <w:p>
      <w:pPr>
        <w:autoSpaceDN w:val="0"/>
        <w:tabs>
          <w:tab w:pos="4582" w:val="left"/>
        </w:tabs>
        <w:autoSpaceDE w:val="0"/>
        <w:widowControl/>
        <w:spacing w:line="254" w:lineRule="auto" w:before="292" w:after="0"/>
        <w:ind w:left="42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18% with effect from January 1, 2020,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prior to April 1, 2022;</w:t>
      </w:r>
    </w:p>
    <w:p>
      <w:pPr>
        <w:autoSpaceDN w:val="0"/>
        <w:autoSpaceDE w:val="0"/>
        <w:widowControl/>
        <w:spacing w:line="264" w:lineRule="auto" w:before="294" w:after="0"/>
        <w:ind w:left="458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18% for the first six months of the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2022 and for the second six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same year of assessment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 of 30%; and</w:t>
      </w:r>
    </w:p>
    <w:p>
      <w:pPr>
        <w:autoSpaceDN w:val="0"/>
        <w:autoSpaceDE w:val="0"/>
        <w:widowControl/>
        <w:spacing w:line="235" w:lineRule="auto" w:before="294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30% with effect from April 1, 2023.”;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94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4 of that Schedule-</w:t>
      </w:r>
    </w:p>
    <w:p>
      <w:pPr>
        <w:autoSpaceDN w:val="0"/>
        <w:autoSpaceDE w:val="0"/>
        <w:widowControl/>
        <w:spacing w:line="238" w:lineRule="auto" w:before="290" w:after="0"/>
        <w:ind w:left="0" w:right="1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(1) of that paragraph-</w:t>
      </w:r>
    </w:p>
    <w:p>
      <w:pPr>
        <w:autoSpaceDN w:val="0"/>
        <w:autoSpaceDE w:val="0"/>
        <w:widowControl/>
        <w:spacing w:line="259" w:lineRule="auto" w:before="294" w:after="0"/>
        <w:ind w:left="4224" w:right="1436" w:hanging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(i) by the repeal of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subparagraph, and the substitution therefor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5" w:lineRule="auto" w:before="494" w:after="0"/>
        <w:ind w:left="3178" w:right="2782" w:hanging="39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 effect from January 1, 2020,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April 1, 2022, shall be 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24%.”;</w:t>
      </w:r>
    </w:p>
    <w:p>
      <w:pPr>
        <w:autoSpaceDN w:val="0"/>
        <w:autoSpaceDE w:val="0"/>
        <w:widowControl/>
        <w:spacing w:line="245" w:lineRule="auto" w:before="254" w:after="0"/>
        <w:ind w:left="2878" w:right="2782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(ii) by the addition immediately after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subparagraph,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items: -</w:t>
      </w:r>
    </w:p>
    <w:p>
      <w:pPr>
        <w:autoSpaceDN w:val="0"/>
        <w:autoSpaceDE w:val="0"/>
        <w:widowControl/>
        <w:spacing w:line="247" w:lineRule="auto" w:before="254" w:after="0"/>
        <w:ind w:left="3298" w:right="278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be taxed at the rate of 24%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six months of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for second six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year of assessment at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rate of 30%; and</w:t>
      </w:r>
    </w:p>
    <w:p>
      <w:pPr>
        <w:autoSpaceDN w:val="0"/>
        <w:tabs>
          <w:tab w:pos="3298" w:val="left"/>
        </w:tabs>
        <w:autoSpaceDE w:val="0"/>
        <w:widowControl/>
        <w:spacing w:line="245" w:lineRule="auto" w:before="254" w:after="0"/>
        <w:ind w:left="29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with effect from April 1, 2023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taxed at the rate of 30%.”;</w:t>
      </w:r>
    </w:p>
    <w:p>
      <w:pPr>
        <w:autoSpaceDN w:val="0"/>
        <w:autoSpaceDE w:val="0"/>
        <w:widowControl/>
        <w:spacing w:line="247" w:lineRule="auto" w:before="254" w:after="0"/>
        <w:ind w:left="2638" w:right="278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(2A) of that paragraph,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“January 1, 2020: -”,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“January 1, 2020 but prior to April 1, 2022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the first six months of the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2022: -”;</w:t>
      </w:r>
    </w:p>
    <w:p>
      <w:pPr>
        <w:autoSpaceDN w:val="0"/>
        <w:autoSpaceDE w:val="0"/>
        <w:widowControl/>
        <w:spacing w:line="245" w:lineRule="auto" w:before="254" w:after="0"/>
        <w:ind w:left="2638" w:right="2782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addition immediately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(2A) of that 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 -</w:t>
      </w:r>
    </w:p>
    <w:p>
      <w:pPr>
        <w:autoSpaceDN w:val="0"/>
        <w:autoSpaceDE w:val="0"/>
        <w:widowControl/>
        <w:spacing w:line="250" w:lineRule="auto" w:before="254" w:after="0"/>
        <w:ind w:left="2816" w:right="2782" w:firstLine="1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“(2B) Such part of the following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of a company which includes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its taxable income for the six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commencing on October 1, 2022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year of assessment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2022 and for any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or after April 1, 2023,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 company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taxed at 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4702" w:val="left"/>
        </w:tabs>
        <w:autoSpaceDE w:val="0"/>
        <w:widowControl/>
        <w:spacing w:line="245" w:lineRule="auto" w:before="494" w:after="0"/>
        <w:ind w:left="438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from conducting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betting and gaming-40%; and</w:t>
      </w:r>
    </w:p>
    <w:p>
      <w:pPr>
        <w:autoSpaceDN w:val="0"/>
        <w:autoSpaceDE w:val="0"/>
        <w:widowControl/>
        <w:spacing w:line="247" w:lineRule="auto" w:before="254" w:after="0"/>
        <w:ind w:left="4702" w:right="1418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gains and profits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 and sale or import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sale of any liquor or tobacco product-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40%.”;</w:t>
      </w:r>
    </w:p>
    <w:p>
      <w:pPr>
        <w:autoSpaceDN w:val="0"/>
        <w:autoSpaceDE w:val="0"/>
        <w:widowControl/>
        <w:spacing w:line="247" w:lineRule="auto" w:before="254" w:after="0"/>
        <w:ind w:left="3984" w:right="1416" w:hanging="32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item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subparagraph (4)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substitution for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“rate of 10%; and”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figures “rate of 10% prior to October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30% with effect from October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2022; and”;</w:t>
      </w:r>
    </w:p>
    <w:p>
      <w:pPr>
        <w:autoSpaceDN w:val="0"/>
        <w:autoSpaceDE w:val="0"/>
        <w:widowControl/>
        <w:spacing w:line="235" w:lineRule="auto" w:before="254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subparagraph (5) of that paragraph, -</w:t>
      </w:r>
    </w:p>
    <w:p>
      <w:pPr>
        <w:autoSpaceDN w:val="0"/>
        <w:autoSpaceDE w:val="0"/>
        <w:widowControl/>
        <w:spacing w:line="245" w:lineRule="auto" w:before="254" w:after="0"/>
        <w:ind w:left="4242" w:right="1418" w:hanging="2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(i) by the substitution for the word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“subparagraphs (1), (2A),” of the word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figures “subparagraphs (1), (2A), (2B),”;</w:t>
      </w:r>
    </w:p>
    <w:p>
      <w:pPr>
        <w:autoSpaceDN w:val="0"/>
        <w:autoSpaceDE w:val="0"/>
        <w:widowControl/>
        <w:spacing w:line="247" w:lineRule="auto" w:before="254" w:after="0"/>
        <w:ind w:left="4242" w:right="1416" w:hanging="3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(ii) 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two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assessment immediately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that year of assessment,”,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“for the first six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commencing from April 1, 2022”; and</w:t>
      </w:r>
    </w:p>
    <w:p>
      <w:pPr>
        <w:autoSpaceDN w:val="0"/>
        <w:autoSpaceDE w:val="0"/>
        <w:widowControl/>
        <w:spacing w:line="245" w:lineRule="auto" w:before="254" w:after="0"/>
        <w:ind w:left="4242" w:right="1418" w:hanging="3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by the repeal of item (ii) of sub-paragraph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therefore of the following: -</w:t>
      </w:r>
    </w:p>
    <w:p>
      <w:pPr>
        <w:autoSpaceDN w:val="0"/>
        <w:autoSpaceDE w:val="0"/>
        <w:widowControl/>
        <w:spacing w:line="247" w:lineRule="auto" w:before="254" w:after="0"/>
        <w:ind w:left="4642" w:right="1418" w:hanging="4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“(ii) an increase in exports (other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undertakings) by fifty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per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first six months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commencing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2022, compared to the first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six months of the first year.”;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5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(1) of paragraph 5 of that Schedule,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figures “shall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taxed at the rate of 28% prior to January 1, 2020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24% with effect from January 1, 2020.”,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35" w:lineRule="auto" w:before="292" w:after="0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“shall be taxed at the rate of –</w:t>
      </w:r>
    </w:p>
    <w:p>
      <w:pPr>
        <w:autoSpaceDN w:val="0"/>
        <w:autoSpaceDE w:val="0"/>
        <w:widowControl/>
        <w:spacing w:line="238" w:lineRule="auto" w:before="294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28% prior to January 1, 2020;</w:t>
      </w:r>
    </w:p>
    <w:p>
      <w:pPr>
        <w:autoSpaceDN w:val="0"/>
        <w:tabs>
          <w:tab w:pos="3098" w:val="left"/>
        </w:tabs>
        <w:autoSpaceDE w:val="0"/>
        <w:widowControl/>
        <w:spacing w:line="254" w:lineRule="auto" w:before="292" w:after="0"/>
        <w:ind w:left="2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with effect from January 1, 2020,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prior to April 1, 2022;</w:t>
      </w:r>
    </w:p>
    <w:p>
      <w:pPr>
        <w:autoSpaceDN w:val="0"/>
        <w:autoSpaceDE w:val="0"/>
        <w:widowControl/>
        <w:spacing w:line="264" w:lineRule="auto" w:before="292" w:after="0"/>
        <w:ind w:left="3098" w:right="2782" w:hanging="31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for the first six months of the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on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2022 and for the second six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same year of assessment at the rate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30%; and</w:t>
      </w:r>
    </w:p>
    <w:p>
      <w:pPr>
        <w:autoSpaceDN w:val="0"/>
        <w:autoSpaceDE w:val="0"/>
        <w:widowControl/>
        <w:spacing w:line="238" w:lineRule="auto" w:before="290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30% with effect from April 1, 2023.”;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9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7 of that Schedule-</w:t>
      </w:r>
    </w:p>
    <w:p>
      <w:pPr>
        <w:autoSpaceDN w:val="0"/>
        <w:autoSpaceDE w:val="0"/>
        <w:widowControl/>
        <w:spacing w:line="259" w:lineRule="auto" w:before="294" w:after="0"/>
        <w:ind w:left="2776" w:right="2782" w:hanging="32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repeal of subparagraph (1)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subparagraph: -</w:t>
      </w:r>
    </w:p>
    <w:p>
      <w:pPr>
        <w:autoSpaceDN w:val="0"/>
        <w:autoSpaceDE w:val="0"/>
        <w:widowControl/>
        <w:spacing w:line="262" w:lineRule="auto" w:before="294" w:after="0"/>
        <w:ind w:left="2956" w:right="2782" w:firstLine="1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Subject to subparagraph (2),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taxable income of a non-governmental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 for a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taxed at the rate of –</w:t>
      </w:r>
    </w:p>
    <w:p>
      <w:pPr>
        <w:autoSpaceDN w:val="0"/>
        <w:autoSpaceDE w:val="0"/>
        <w:widowControl/>
        <w:spacing w:line="238" w:lineRule="auto" w:before="294" w:after="0"/>
        <w:ind w:left="0" w:right="29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28% prior to January 1, 2020;</w:t>
      </w:r>
    </w:p>
    <w:p>
      <w:pPr>
        <w:autoSpaceDN w:val="0"/>
        <w:autoSpaceDE w:val="0"/>
        <w:widowControl/>
        <w:spacing w:line="257" w:lineRule="auto" w:before="290" w:after="0"/>
        <w:ind w:left="3596" w:right="2736" w:hanging="32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with effect from January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2020, but prior to April 1, 2022;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4942" w:val="left"/>
          <w:tab w:pos="5478" w:val="left"/>
          <w:tab w:pos="6128" w:val="left"/>
          <w:tab w:pos="6570" w:val="left"/>
        </w:tabs>
        <w:autoSpaceDE w:val="0"/>
        <w:widowControl/>
        <w:spacing w:line="245" w:lineRule="auto" w:before="494" w:after="0"/>
        <w:ind w:left="46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24% for the first six months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2022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second six months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year of assessment at the 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30%; and</w:t>
      </w:r>
    </w:p>
    <w:p>
      <w:pPr>
        <w:autoSpaceDN w:val="0"/>
        <w:tabs>
          <w:tab w:pos="4942" w:val="left"/>
        </w:tabs>
        <w:autoSpaceDE w:val="0"/>
        <w:widowControl/>
        <w:spacing w:line="245" w:lineRule="auto" w:before="218" w:after="0"/>
        <w:ind w:left="46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30% with effect from April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2023.”;</w:t>
      </w:r>
    </w:p>
    <w:p>
      <w:pPr>
        <w:autoSpaceDN w:val="0"/>
        <w:autoSpaceDE w:val="0"/>
        <w:widowControl/>
        <w:spacing w:line="245" w:lineRule="auto" w:before="216" w:after="0"/>
        <w:ind w:left="4204" w:right="1436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repeal of subparagraph (3)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subparagraph: -</w:t>
      </w:r>
    </w:p>
    <w:p>
      <w:pPr>
        <w:autoSpaceDN w:val="0"/>
        <w:autoSpaceDE w:val="0"/>
        <w:widowControl/>
        <w:spacing w:line="245" w:lineRule="auto" w:before="216" w:after="0"/>
        <w:ind w:left="428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“(3) The rate of tax payable by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governmental organization on amounts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in a year of assessment by 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grant, donation or contribution or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other manner under section 68 shall-</w:t>
      </w:r>
    </w:p>
    <w:p>
      <w:pPr>
        <w:autoSpaceDN w:val="0"/>
        <w:autoSpaceDE w:val="0"/>
        <w:widowControl/>
        <w:spacing w:line="238" w:lineRule="auto" w:before="21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prior to January 1, 2020, be 28%;</w:t>
      </w:r>
    </w:p>
    <w:p>
      <w:pPr>
        <w:autoSpaceDN w:val="0"/>
        <w:autoSpaceDE w:val="0"/>
        <w:widowControl/>
        <w:spacing w:line="245" w:lineRule="auto" w:before="216" w:after="0"/>
        <w:ind w:left="4882" w:right="1296" w:hanging="34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24% with effect from January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1, 2020, but prior to April 1, 2022;</w:t>
      </w:r>
    </w:p>
    <w:p>
      <w:pPr>
        <w:autoSpaceDN w:val="0"/>
        <w:autoSpaceDE w:val="0"/>
        <w:widowControl/>
        <w:spacing w:line="245" w:lineRule="auto" w:before="218" w:after="0"/>
        <w:ind w:left="488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24% for the first six 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2022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second six months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same year of assessment, be 30%;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882" w:val="left"/>
        </w:tabs>
        <w:autoSpaceDE w:val="0"/>
        <w:widowControl/>
        <w:spacing w:line="245" w:lineRule="auto" w:before="216" w:after="0"/>
        <w:ind w:left="45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30% with effect from April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2023.”; and</w:t>
      </w:r>
    </w:p>
    <w:p>
      <w:pPr>
        <w:autoSpaceDN w:val="0"/>
        <w:autoSpaceDE w:val="0"/>
        <w:widowControl/>
        <w:spacing w:line="235" w:lineRule="auto" w:before="218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 in subparagraph (1) of paragraph 10 of that Schedule -</w:t>
      </w:r>
    </w:p>
    <w:p>
      <w:pPr>
        <w:autoSpaceDN w:val="0"/>
        <w:autoSpaceDE w:val="0"/>
        <w:widowControl/>
        <w:spacing w:line="245" w:lineRule="auto" w:before="218" w:after="0"/>
        <w:ind w:left="4084" w:right="1436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“section 83 applies-”, of the words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“section 83 or section 83A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applies-”;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45" w:lineRule="auto" w:before="496" w:after="0"/>
        <w:ind w:left="2738" w:right="2782" w:hanging="3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“section 84(1)(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)(i) applies-”,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“section 84(1)(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applies-”; and</w:t>
      </w:r>
    </w:p>
    <w:p>
      <w:pPr>
        <w:autoSpaceDN w:val="0"/>
        <w:autoSpaceDE w:val="0"/>
        <w:widowControl/>
        <w:spacing w:line="245" w:lineRule="auto" w:before="178" w:after="0"/>
        <w:ind w:left="2738" w:right="2784" w:hanging="29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by the addition immediately after item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subparagraph,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item:-</w:t>
      </w:r>
    </w:p>
    <w:p>
      <w:pPr>
        <w:autoSpaceDN w:val="0"/>
        <w:tabs>
          <w:tab w:pos="3596" w:val="left"/>
        </w:tabs>
        <w:autoSpaceDE w:val="0"/>
        <w:widowControl/>
        <w:spacing w:line="245" w:lineRule="auto" w:before="176" w:after="0"/>
        <w:ind w:left="316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payments to which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84A (1A) applies –</w:t>
      </w:r>
    </w:p>
    <w:p>
      <w:pPr>
        <w:autoSpaceDN w:val="0"/>
        <w:autoSpaceDE w:val="0"/>
        <w:widowControl/>
        <w:spacing w:line="245" w:lineRule="auto" w:before="178" w:after="0"/>
        <w:ind w:left="3938" w:right="2782" w:hanging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rent payments made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person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payment does not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 Rs. 100,000 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– 0%;</w:t>
      </w:r>
    </w:p>
    <w:p>
      <w:pPr>
        <w:autoSpaceDN w:val="0"/>
        <w:tabs>
          <w:tab w:pos="3938" w:val="left"/>
        </w:tabs>
        <w:autoSpaceDE w:val="0"/>
        <w:widowControl/>
        <w:spacing w:line="245" w:lineRule="auto" w:before="178" w:after="0"/>
        <w:ind w:left="35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(ii) interest or discount paid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5%;</w:t>
      </w:r>
    </w:p>
    <w:p>
      <w:pPr>
        <w:autoSpaceDN w:val="0"/>
        <w:autoSpaceDE w:val="0"/>
        <w:widowControl/>
        <w:spacing w:line="245" w:lineRule="auto" w:before="176" w:after="0"/>
        <w:ind w:left="3938" w:right="2782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rent payments made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person where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payment exceeds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is equal to Rs. 100,000 per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month – 10% on full amount;</w:t>
      </w:r>
    </w:p>
    <w:p>
      <w:pPr>
        <w:autoSpaceDN w:val="0"/>
        <w:tabs>
          <w:tab w:pos="3938" w:val="left"/>
        </w:tabs>
        <w:autoSpaceDE w:val="0"/>
        <w:widowControl/>
        <w:spacing w:line="245" w:lineRule="auto" w:before="176" w:after="0"/>
        <w:ind w:left="35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all other payments except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dividend – 14%; and</w:t>
      </w:r>
    </w:p>
    <w:p>
      <w:pPr>
        <w:autoSpaceDN w:val="0"/>
        <w:autoSpaceDE w:val="0"/>
        <w:widowControl/>
        <w:spacing w:line="238" w:lineRule="auto" w:before="178" w:after="116"/>
        <w:ind w:left="0" w:right="2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(v) dividend paid-15%.”;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11 of that Schedule,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“five years”, of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“two years”.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0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hereby amended in paragraph 1 of that Schedule,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insertion immediately after subparagraph (6)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of the following new subparagraph: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2" w:after="0"/>
        <w:ind w:left="215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“(6A) Commencing from the first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on a depreciable asset, three years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 implementation period shall be provided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 person who has not made his intended total</w:t>
      </w:r>
    </w:p>
    <w:p>
      <w:pPr>
        <w:autoSpaceDN w:val="0"/>
        <w:autoSpaceDE w:val="0"/>
        <w:widowControl/>
        <w:spacing w:line="235" w:lineRule="auto" w:before="12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under a subparagraph of this paragraph.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autoSpaceDE w:val="0"/>
        <w:widowControl/>
        <w:spacing w:line="245" w:lineRule="auto" w:before="488" w:after="126"/>
        <w:ind w:left="3504" w:right="1436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Notwithstanding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</w:t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(6), capital allowance arising under a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paragraph shall be deducted in that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he has completed the total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intended investment, but before the expiration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project implementation period.”.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45" w:lineRule="auto" w:before="60" w:after="0"/>
              <w:ind w:left="16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Third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paragraph: -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0"/>
        <w:ind w:left="3924" w:right="1436" w:hanging="52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" w:hAnsi="Times" w:eastAsia="Times"/>
          <w:b w:val="0"/>
          <w:i/>
          <w:color w:val="000000"/>
          <w:sz w:val="20"/>
        </w:rPr>
        <w:t>gg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gain made by an entity fully owned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as a gain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a capital asset or liability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or realisation of an investment asset,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such gain was made due to any decision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 of Sri Lanka as being essential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economic development of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subject to the prior written approval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Minister;”;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18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hh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“April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2021”, of the words and figures “April 1, 2021 but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October 1, 2022”;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18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January1, 2020”, of the words and figures “on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January 1, 2020 but prior to October1, 2022”;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18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" w:hAnsi="Times" w:eastAsia="Times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Schedule, of the following new paragraph: -</w:t>
      </w:r>
    </w:p>
    <w:p>
      <w:pPr>
        <w:autoSpaceDN w:val="0"/>
        <w:tabs>
          <w:tab w:pos="4224" w:val="left"/>
        </w:tabs>
        <w:autoSpaceDE w:val="0"/>
        <w:widowControl/>
        <w:spacing w:line="245" w:lineRule="auto" w:before="188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ooo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October 1, 2022, a dividend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paid by a resident company-</w:t>
      </w:r>
    </w:p>
    <w:p>
      <w:pPr>
        <w:autoSpaceDN w:val="0"/>
        <w:autoSpaceDE w:val="0"/>
        <w:widowControl/>
        <w:spacing w:line="245" w:lineRule="auto" w:before="188" w:after="0"/>
        <w:ind w:left="3924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which is engaged in any one or more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businesses in accordance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Part IV of the Finance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52" w:lineRule="auto" w:before="488" w:after="0"/>
        <w:ind w:left="257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12 of 2012 and which has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agreement with the Board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 Sri Lanka established under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of Sri Lanka Law, No. 4 of 1978: -</w:t>
      </w:r>
    </w:p>
    <w:p>
      <w:pPr>
        <w:autoSpaceDN w:val="0"/>
        <w:tabs>
          <w:tab w:pos="3178" w:val="left"/>
        </w:tabs>
        <w:autoSpaceDE w:val="0"/>
        <w:widowControl/>
        <w:spacing w:line="247" w:lineRule="auto" w:before="264" w:after="0"/>
        <w:ind w:left="277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entrepot trade involving import, minor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processing and re-export;</w:t>
      </w:r>
    </w:p>
    <w:p>
      <w:pPr>
        <w:autoSpaceDN w:val="0"/>
        <w:autoSpaceDE w:val="0"/>
        <w:widowControl/>
        <w:spacing w:line="252" w:lineRule="auto" w:before="266" w:after="0"/>
        <w:ind w:left="3178" w:right="2782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offshore business where goods can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procured from one country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manufactured in one country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shipped to another country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bringing the same into Sri Lanka;</w:t>
      </w:r>
    </w:p>
    <w:p>
      <w:pPr>
        <w:autoSpaceDN w:val="0"/>
        <w:tabs>
          <w:tab w:pos="3178" w:val="left"/>
        </w:tabs>
        <w:autoSpaceDE w:val="0"/>
        <w:widowControl/>
        <w:spacing w:line="247" w:lineRule="auto" w:before="266" w:after="0"/>
        <w:ind w:left="27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providing front-end services to clients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abroad;</w:t>
      </w:r>
    </w:p>
    <w:p>
      <w:pPr>
        <w:autoSpaceDN w:val="0"/>
        <w:autoSpaceDE w:val="0"/>
        <w:widowControl/>
        <w:spacing w:line="250" w:lineRule="auto" w:before="264" w:after="0"/>
        <w:ind w:left="3178" w:right="2782" w:hanging="40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headquarters operations of leading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buyers for management of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supply chain and billing operations;</w:t>
      </w:r>
    </w:p>
    <w:p>
      <w:pPr>
        <w:autoSpaceDN w:val="0"/>
        <w:autoSpaceDE w:val="0"/>
        <w:widowControl/>
        <w:spacing w:line="238" w:lineRule="auto" w:before="264" w:after="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ie</w:t>
      </w:r>
      <w:r>
        <w:rPr>
          <w:rFonts w:ascii="Times" w:hAnsi="Times" w:eastAsia="Times"/>
          <w:b w:val="0"/>
          <w:i w:val="0"/>
          <w:color w:val="000000"/>
          <w:sz w:val="20"/>
        </w:rPr>
        <w:t>) logistics services including bonded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warehouse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multi-country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consolidation in Sri Lanka;</w:t>
      </w:r>
    </w:p>
    <w:p>
      <w:pPr>
        <w:autoSpaceDN w:val="0"/>
        <w:autoSpaceDE w:val="0"/>
        <w:widowControl/>
        <w:spacing w:line="254" w:lineRule="auto" w:before="258" w:after="0"/>
        <w:ind w:left="261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to a member to the extent that such dividend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is attributable to, or derived from,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dividend received by that 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or another resident company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subject to Advance Income Tax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(1A) of section 84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rr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“dividends and gains”,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figures “dividends and gains prior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October 1, 2022,”;</w:t>
      </w:r>
    </w:p>
    <w:p>
      <w:pPr>
        <w:autoSpaceDN w:val="0"/>
        <w:autoSpaceDE w:val="0"/>
        <w:widowControl/>
        <w:spacing w:line="235" w:lineRule="auto" w:before="26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(6) in paragraph (</w:t>
      </w:r>
      <w:r>
        <w:rPr>
          <w:rFonts w:ascii="Times" w:hAnsi="Times" w:eastAsia="Times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Schedule-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35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3942" w:val="left"/>
        </w:tabs>
        <w:autoSpaceDE w:val="0"/>
        <w:widowControl/>
        <w:spacing w:line="252" w:lineRule="auto" w:before="496" w:after="0"/>
        <w:ind w:left="349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(ii)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and figures “January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2020,”, of the words and figures “January 1,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2020, but prior to April 1, 2023,”;</w:t>
      </w:r>
    </w:p>
    <w:p>
      <w:pPr>
        <w:autoSpaceDN w:val="0"/>
        <w:tabs>
          <w:tab w:pos="3942" w:val="left"/>
        </w:tabs>
        <w:autoSpaceDE w:val="0"/>
        <w:widowControl/>
        <w:spacing w:line="238" w:lineRule="auto" w:before="264" w:after="0"/>
        <w:ind w:left="35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subparagraph (v) of that paragraph-</w:t>
      </w:r>
    </w:p>
    <w:p>
      <w:pPr>
        <w:autoSpaceDN w:val="0"/>
        <w:tabs>
          <w:tab w:pos="4302" w:val="left"/>
        </w:tabs>
        <w:autoSpaceDE w:val="0"/>
        <w:widowControl/>
        <w:spacing w:line="252" w:lineRule="auto" w:before="264" w:after="0"/>
        <w:ind w:left="39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that subparagraph,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“any vocational”,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“prior to April 1, 2023,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vocational”;</w:t>
      </w:r>
    </w:p>
    <w:p>
      <w:pPr>
        <w:autoSpaceDN w:val="0"/>
        <w:tabs>
          <w:tab w:pos="4302" w:val="left"/>
        </w:tabs>
        <w:autoSpaceDE w:val="0"/>
        <w:widowControl/>
        <w:spacing w:line="250" w:lineRule="auto" w:before="266" w:after="0"/>
        <w:ind w:left="38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item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“five years”,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“two years”;</w:t>
      </w:r>
    </w:p>
    <w:p>
      <w:pPr>
        <w:autoSpaceDN w:val="0"/>
        <w:tabs>
          <w:tab w:pos="4302" w:val="left"/>
          <w:tab w:pos="4304" w:val="left"/>
        </w:tabs>
        <w:autoSpaceDE w:val="0"/>
        <w:widowControl/>
        <w:spacing w:line="250" w:lineRule="auto" w:before="266" w:after="0"/>
        <w:ind w:left="382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proviso to that subparagraph,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“next four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years”, of the words “next year”; and</w:t>
      </w:r>
    </w:p>
    <w:p>
      <w:pPr>
        <w:autoSpaceDN w:val="0"/>
        <w:tabs>
          <w:tab w:pos="3942" w:val="left"/>
        </w:tabs>
        <w:autoSpaceDE w:val="0"/>
        <w:widowControl/>
        <w:spacing w:line="252" w:lineRule="auto" w:before="266" w:after="0"/>
        <w:ind w:left="355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(vi)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“any business”,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“prior to April 1, 2023,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business”;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84" w:after="156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" w:hAnsi="Times" w:eastAsia="Times"/>
          <w:b w:val="0"/>
          <w:i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“on or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2021,”, of the words and figures “on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April 1, 2021 but prior to April 1, 2023,”.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Fifth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5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Fifth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1 of that Schedule,</w:t>
            </w:r>
          </w:p>
        </w:tc>
      </w:tr>
      <w:tr>
        <w:trPr>
          <w:trHeight w:hRule="exact" w:val="10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“acquisition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merger of any other financial institution where”,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and figures “acquisition, partial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acquisition, absorption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or  merger of,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bank licensed under the Banking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autoSpaceDE w:val="0"/>
        <w:widowControl/>
        <w:spacing w:line="245" w:lineRule="auto" w:before="494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30 of 1988, finance company licensed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Finance Business Act, No. 42 of 2011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finance leasing company registered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3 of the Finance Leasing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 No. 56 of 2000  where”; and</w:t>
      </w:r>
    </w:p>
    <w:p>
      <w:pPr>
        <w:autoSpaceDN w:val="0"/>
        <w:autoSpaceDE w:val="0"/>
        <w:widowControl/>
        <w:spacing w:line="235" w:lineRule="auto" w:before="19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2 of that Schedule-</w:t>
      </w:r>
    </w:p>
    <w:p>
      <w:pPr>
        <w:autoSpaceDN w:val="0"/>
        <w:autoSpaceDE w:val="0"/>
        <w:widowControl/>
        <w:spacing w:line="245" w:lineRule="auto" w:before="194" w:after="0"/>
        <w:ind w:left="2338" w:right="278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subparagraph: -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194" w:after="0"/>
        <w:ind w:left="244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Rs. 500,000, for each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 prior to January 1, 2020;</w:t>
      </w:r>
    </w:p>
    <w:p>
      <w:pPr>
        <w:autoSpaceDN w:val="0"/>
        <w:autoSpaceDE w:val="0"/>
        <w:widowControl/>
        <w:spacing w:line="245" w:lineRule="auto" w:before="192" w:after="0"/>
        <w:ind w:left="311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Rs. 3,000,000, for each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1, 2020, but prior to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2022;</w:t>
      </w:r>
    </w:p>
    <w:p>
      <w:pPr>
        <w:autoSpaceDN w:val="0"/>
        <w:autoSpaceDE w:val="0"/>
        <w:widowControl/>
        <w:spacing w:line="245" w:lineRule="auto" w:before="194" w:after="0"/>
        <w:ind w:left="3118" w:right="2782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(iii) Rs. 2,250,000, for first nine months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Rs. 300,000 for second three months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year of assessment commencing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April 1, 2022; and</w:t>
      </w:r>
    </w:p>
    <w:p>
      <w:pPr>
        <w:autoSpaceDN w:val="0"/>
        <w:autoSpaceDE w:val="0"/>
        <w:widowControl/>
        <w:spacing w:line="245" w:lineRule="auto" w:before="192" w:after="0"/>
        <w:ind w:left="3118" w:right="278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Rs. 1,200,000, for each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April 1, 2023,</w:t>
      </w:r>
    </w:p>
    <w:p>
      <w:pPr>
        <w:autoSpaceDN w:val="0"/>
        <w:autoSpaceDE w:val="0"/>
        <w:widowControl/>
        <w:spacing w:line="245" w:lineRule="auto" w:before="192" w:after="132"/>
        <w:ind w:left="275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that an individual who is a trustee,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receiver, executor or liquidator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deduct this personal relief as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trustee, receiver, executor or liquidator,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relief shall not be deducted against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realisation of investment assets;”;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134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that paragraph,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and figures “on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January 1, 2020: -”, of the words and figures “on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after January 1, 2020, but prior to April 1, 2022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sum of Rs. 900,000, incurred for the first nine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of the year of assessment commencing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on April 1, 2022: -”.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Sixth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50" w:lineRule="auto" w:before="3952" w:after="0"/>
              <w:ind w:left="7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Calculation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income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the year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commencing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April 1,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2022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45" w:lineRule="auto" w:before="260" w:after="0"/>
              <w:ind w:left="24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Sixth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subparagraph (4) of paragraph 1 of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substitution for the words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“that are used to improve business processes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productivity and fixed”, of the words “that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fixed”;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paragraphs 3, 4, 5, 6, 7, 8, 9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11 of that Schedule as paragraphs 2, 3, 4, 5, 6,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7, 8 and 9 of that Schedule, respectively;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re-numbered paragraph 8 of that Schedule,</w:t>
            </w:r>
          </w:p>
        </w:tc>
      </w:tr>
      <w:tr>
        <w:trPr>
          <w:trHeight w:hRule="exact" w:val="960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4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substitution for the words “zero percent.”,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and figures “zero percent, if such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made to the Commissioner-General prior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October 1, 2022.”; 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10 of that</w:t>
            </w:r>
          </w:p>
        </w:tc>
      </w:tr>
      <w:tr>
        <w:trPr>
          <w:trHeight w:hRule="exact" w:val="3284"/>
        </w:trPr>
        <w:tc>
          <w:tcPr>
            <w:tcW w:type="dxa" w:w="2255"/>
            <w:vMerge/>
            <w:tcBorders/>
          </w:tcPr>
          <w:p/>
        </w:tc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6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Schedule, by the substitution for the words “three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years”, of the words “two years”.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244" w:right="71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income tax payable by a person for the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on April 1, 2022,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calculated separately for two periods of the year of 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first nine months and second three months by individuals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first six months and second six months by persons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individuals. For the purpose of such calculation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income, the person may use pro-rata basis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(as 75% for first nine months and balance 25% for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months by individuals and 50% for first six months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balance 50% for second six months by persons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individuals) to arrive the taxable income for such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periods.</w:t>
            </w:r>
          </w:p>
        </w:tc>
      </w:tr>
    </w:tbl>
    <w:p>
      <w:pPr>
        <w:autoSpaceDN w:val="0"/>
        <w:autoSpaceDE w:val="0"/>
        <w:widowControl/>
        <w:spacing w:line="245" w:lineRule="auto" w:before="140" w:after="14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Subject to the provisions of this Act, a person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 a revised estimate for the purpose of tax payable by </w:t>
      </w:r>
      <w:r>
        <w:rPr>
          <w:rFonts w:ascii="Times" w:hAnsi="Times" w:eastAsia="Times"/>
          <w:b w:val="0"/>
          <w:i w:val="0"/>
          <w:color w:val="000000"/>
          <w:sz w:val="20"/>
        </w:rPr>
        <w:t>instalments.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4" w:val="left"/>
              </w:tabs>
              <w:autoSpaceDE w:val="0"/>
              <w:widowControl/>
              <w:spacing w:line="245" w:lineRule="auto" w:before="60" w:after="0"/>
              <w:ind w:left="28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5462" w:val="left"/>
        </w:tabs>
        <w:autoSpaceDE w:val="0"/>
        <w:widowControl/>
        <w:spacing w:line="238" w:lineRule="auto" w:before="676" w:after="152"/>
        <w:ind w:left="322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2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25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4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15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5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this Act</w:t>
            </w:r>
          </w:p>
        </w:tc>
        <w:tc>
          <w:tcPr>
            <w:tcW w:type="dxa" w:w="35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</w:p>
        </w:tc>
      </w:tr>
      <w:tr>
        <w:trPr>
          <w:trHeight w:hRule="exact" w:val="398"/>
        </w:trPr>
        <w:tc>
          <w:tcPr>
            <w:tcW w:type="dxa" w:w="125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35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</w:tr>
      <w:tr>
        <w:trPr>
          <w:trHeight w:hRule="exact" w:val="31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</w:tr>
      <w:tr>
        <w:trPr>
          <w:trHeight w:hRule="exact" w:val="34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</w:tr>
      <w:tr>
        <w:trPr>
          <w:trHeight w:hRule="exact" w:val="3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92A</w:t>
            </w:r>
          </w:p>
        </w:tc>
      </w:tr>
      <w:tr>
        <w:trPr>
          <w:trHeight w:hRule="exact" w:val="31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</w:tr>
      <w:tr>
        <w:trPr>
          <w:trHeight w:hRule="exact" w:val="34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0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134</w:t>
            </w:r>
          </w:p>
        </w:tc>
      </w:tr>
      <w:tr>
        <w:trPr>
          <w:trHeight w:hRule="exact" w:val="3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135</w:t>
            </w:r>
          </w:p>
        </w:tc>
      </w:tr>
      <w:tr>
        <w:trPr>
          <w:trHeight w:hRule="exact" w:val="3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136</w:t>
            </w:r>
          </w:p>
        </w:tc>
      </w:tr>
      <w:tr>
        <w:trPr>
          <w:trHeight w:hRule="exact" w:val="33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35(1) and (3)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622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36(1), (2), (3),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(4) and (5)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28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(1A) and (1B) of paragraph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3, 4, 5 and 7 of the First Schedule</w:t>
            </w:r>
          </w:p>
        </w:tc>
      </w:tr>
      <w:tr>
        <w:trPr>
          <w:trHeight w:hRule="exact" w:val="60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4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(6A)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678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38(1)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gg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Third Schedule</w:t>
            </w:r>
          </w:p>
        </w:tc>
      </w:tr>
      <w:tr>
        <w:trPr>
          <w:trHeight w:hRule="exact" w:val="920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40(1) and (2)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48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item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subparagraph (4) of paragraph 1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2,3,4,5,6,7,8 and 9 of the Sixth</w:t>
            </w:r>
          </w:p>
          <w:p>
            <w:pPr>
              <w:autoSpaceDN w:val="0"/>
              <w:autoSpaceDE w:val="0"/>
              <w:widowControl/>
              <w:spacing w:line="235" w:lineRule="auto" w:before="11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34"/>
        </w:trPr>
        <w:tc>
          <w:tcPr>
            <w:tcW w:type="dxa" w:w="125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35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3182" w:val="left"/>
        </w:tabs>
        <w:autoSpaceDE w:val="0"/>
        <w:widowControl/>
        <w:spacing w:line="242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Inland Revenue (Amendment) Act, No. 45 of 2022</w:t>
      </w:r>
    </w:p>
    <w:p>
      <w:pPr>
        <w:autoSpaceDN w:val="0"/>
        <w:tabs>
          <w:tab w:pos="6682" w:val="left"/>
        </w:tabs>
        <w:autoSpaceDE w:val="0"/>
        <w:widowControl/>
        <w:spacing w:line="252" w:lineRule="auto" w:before="724" w:after="112"/>
        <w:ind w:left="471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‘B’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28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200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9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5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20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00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79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2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section of the principal enactment</w:t>
            </w:r>
          </w:p>
        </w:tc>
      </w:tr>
      <w:tr>
        <w:trPr>
          <w:trHeight w:hRule="exact" w:val="714"/>
        </w:trPr>
        <w:tc>
          <w:tcPr>
            <w:tcW w:type="dxa" w:w="20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36(1)</w:t>
            </w:r>
          </w:p>
        </w:tc>
        <w:tc>
          <w:tcPr>
            <w:tcW w:type="dxa" w:w="279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14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First Schedule</w:t>
            </w:r>
          </w:p>
        </w:tc>
      </w:tr>
      <w:tr>
        <w:trPr>
          <w:trHeight w:hRule="exact" w:val="640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38 (2), (3), (4) and (5)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6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rr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642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39(2)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(2) of the Fifth Schedule</w:t>
            </w:r>
          </w:p>
        </w:tc>
      </w:tr>
      <w:tr>
        <w:trPr>
          <w:trHeight w:hRule="exact" w:val="692"/>
        </w:trPr>
        <w:tc>
          <w:tcPr>
            <w:tcW w:type="dxa" w:w="20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 (3) and (4)</w:t>
            </w:r>
          </w:p>
        </w:tc>
        <w:tc>
          <w:tcPr>
            <w:tcW w:type="dxa" w:w="279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6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(8) and (10) of the Sixth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4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42" w:lineRule="auto" w:before="0" w:after="0"/>
        <w:ind w:left="183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Inland Revenue (Amendment) Act, No. 45 of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5378" w:val="left"/>
        </w:tabs>
        <w:autoSpaceDE w:val="0"/>
        <w:widowControl/>
        <w:spacing w:line="238" w:lineRule="auto" w:before="638" w:after="130"/>
        <w:ind w:left="333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Table ‘C’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3.9999999999998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20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98"/>
            <w:tcBorders>
              <w:start w:sz="3.8399999141693115" w:val="single" w:color="#000000"/>
              <w:top w:sz="7.679999828338623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2"/>
            <w:tcBorders>
              <w:start w:sz="1.9199999570846558" w:val="single" w:color="#221F1F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78"/>
        </w:trPr>
        <w:tc>
          <w:tcPr>
            <w:tcW w:type="dxa" w:w="12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698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432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section of the principal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enactment</w:t>
            </w:r>
          </w:p>
        </w:tc>
        <w:tc>
          <w:tcPr>
            <w:tcW w:type="dxa" w:w="1132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6"/>
        </w:trPr>
        <w:tc>
          <w:tcPr>
            <w:tcW w:type="dxa" w:w="120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698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132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2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7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4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6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5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83A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01.01.2023</w:t>
            </w:r>
          </w:p>
        </w:tc>
      </w:tr>
      <w:tr>
        <w:trPr>
          <w:trHeight w:hRule="exact" w:val="36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84A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01.01.2023</w:t>
            </w:r>
          </w:p>
        </w:tc>
      </w:tr>
      <w:tr>
        <w:trPr>
          <w:trHeight w:hRule="exact" w:val="30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01.01.2023</w:t>
            </w:r>
          </w:p>
        </w:tc>
      </w:tr>
      <w:tr>
        <w:trPr>
          <w:trHeight w:hRule="exact" w:val="424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01.01.2023</w:t>
            </w:r>
          </w:p>
        </w:tc>
      </w:tr>
      <w:tr>
        <w:trPr>
          <w:trHeight w:hRule="exact" w:val="296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  <w:tr>
        <w:trPr>
          <w:trHeight w:hRule="exact" w:val="304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378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35(2)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74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36(1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(7)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(1C)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1 and paragraph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01.04.2023</w:t>
            </w:r>
          </w:p>
        </w:tc>
      </w:tr>
      <w:tr>
        <w:trPr>
          <w:trHeight w:hRule="exact" w:val="580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38(6) and (7)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50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31.03.2023</w:t>
            </w:r>
          </w:p>
        </w:tc>
      </w:tr>
      <w:tr>
        <w:trPr>
          <w:trHeight w:hRule="exact" w:val="614"/>
        </w:trPr>
        <w:tc>
          <w:tcPr>
            <w:tcW w:type="dxa" w:w="120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39(1)</w:t>
            </w:r>
          </w:p>
        </w:tc>
        <w:tc>
          <w:tcPr>
            <w:tcW w:type="dxa" w:w="2698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 of the Fifth Schedule</w:t>
            </w:r>
          </w:p>
        </w:tc>
        <w:tc>
          <w:tcPr>
            <w:tcW w:type="dxa" w:w="1132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2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5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5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Inland Revenue (Amendment) Act, No. 45 of 2022</w:t>
            </w:r>
          </w:p>
        </w:tc>
      </w:tr>
    </w:tbl>
    <w:p>
      <w:pPr>
        <w:autoSpaceDN w:val="0"/>
        <w:autoSpaceDE w:val="0"/>
        <w:widowControl/>
        <w:spacing w:line="238" w:lineRule="auto" w:before="89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