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34" w:after="0"/>
        <w:ind w:left="192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REGULATION OF ELECTION EXPENDITURE</w:t>
      </w:r>
    </w:p>
    <w:p>
      <w:pPr>
        <w:autoSpaceDN w:val="0"/>
        <w:autoSpaceDE w:val="0"/>
        <w:widowControl/>
        <w:spacing w:line="238" w:lineRule="auto" w:before="20" w:after="0"/>
        <w:ind w:left="0" w:right="3234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ACT,  No.  3  OF  2023</w:t>
      </w:r>
    </w:p>
    <w:p>
      <w:pPr>
        <w:autoSpaceDN w:val="0"/>
        <w:autoSpaceDE w:val="0"/>
        <w:widowControl/>
        <w:spacing w:line="235" w:lineRule="auto" w:before="926" w:after="0"/>
        <w:ind w:left="0" w:right="291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24th of  January,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27,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38" w:lineRule="auto" w:before="270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24th of January, 2023]</w:t>
      </w:r>
    </w:p>
    <w:p>
      <w:pPr>
        <w:autoSpaceDN w:val="0"/>
        <w:autoSpaceDE w:val="0"/>
        <w:widowControl/>
        <w:spacing w:line="238" w:lineRule="auto" w:before="25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30/2018</w:t>
      </w:r>
    </w:p>
    <w:p>
      <w:pPr>
        <w:autoSpaceDN w:val="0"/>
        <w:autoSpaceDE w:val="0"/>
        <w:widowControl/>
        <w:spacing w:line="245" w:lineRule="auto" w:before="198" w:after="0"/>
        <w:ind w:left="1676" w:right="278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REGULATE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INCURRED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RECOGNIZED </w:t>
      </w:r>
      <w:r>
        <w:rPr>
          <w:rFonts w:ascii="Times" w:hAnsi="Times" w:eastAsia="Times"/>
          <w:b w:val="0"/>
          <w:i w:val="0"/>
          <w:color w:val="221F1F"/>
          <w:sz w:val="14"/>
        </w:rPr>
        <w:t>POLITICAL</w:t>
      </w:r>
      <w:r>
        <w:rPr>
          <w:rFonts w:ascii="Times" w:hAnsi="Times" w:eastAsia="Times"/>
          <w:b w:val="0"/>
          <w:i w:val="0"/>
          <w:color w:val="221F1F"/>
          <w:sz w:val="14"/>
        </w:rPr>
        <w:t>PARTIES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INDEPENDENT</w:t>
      </w:r>
      <w:r>
        <w:rPr>
          <w:rFonts w:ascii="Times" w:hAnsi="Times" w:eastAsia="Times"/>
          <w:b w:val="0"/>
          <w:i w:val="0"/>
          <w:color w:val="221F1F"/>
          <w:sz w:val="14"/>
        </w:rPr>
        <w:t>GROUPS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CANDIDATES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EVERY 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14"/>
        </w:rPr>
        <w:t>CONDUCTED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262);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1988;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p>
      <w:pPr>
        <w:autoSpaceDN w:val="0"/>
        <w:autoSpaceDE w:val="0"/>
        <w:widowControl/>
        <w:spacing w:line="245" w:lineRule="auto" w:before="4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06" w:after="14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2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Regulation of 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Act, No. 3 of 2023.</w:t>
            </w:r>
          </w:p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20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apply to every 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under –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38" w:lineRule="auto" w:before="45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  <w:p>
            <w:pPr>
              <w:autoSpaceDN w:val="0"/>
              <w:autoSpaceDE w:val="0"/>
              <w:widowControl/>
              <w:spacing w:line="235" w:lineRule="auto" w:before="266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Authorized</w:t>
            </w:r>
          </w:p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amount</w:t>
            </w:r>
          </w:p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Local Authorities Elections Ordinance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9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262);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Provincial Councils Elections Act, No. 2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Parliamentary Elections Act, No. 1 of 1981;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3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Presidential Elections Act, No. 15 of 1981.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Within a period of five days after the conclusion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period of nomination specified in the Proclamation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requiring the conduct of an election under any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section 2, the Election Commission shall, 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consultation with the recognized political parties,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independent groups contesting such election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fix by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 sum of money in Sri Lankan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to be used for the purpose of calculating an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amount, in accordance with the provisions of this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such election: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08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45" w:lineRule="auto" w:before="29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case of a presidential election,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candidate who has not been nominated by a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party shall be consulted.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sum of money to be fixed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calculated taking into consideration the prevailing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inflation rate and the National Consumer Price Index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3024" w:val="left"/>
        </w:tabs>
        <w:autoSpaceDE w:val="0"/>
        <w:widowControl/>
        <w:spacing w:line="247" w:lineRule="auto" w:before="25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authorized amount in relation to a candidate 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calculated as follows:-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(Chapter 262),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of the total number of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voters in the ward of the local authority contested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candidate, by such amount of Sri Lankan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as may be fixed for that election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Election Commission under subsection (1);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1988,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Sri Lankan rupees resulting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of the total number of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voters in the administrative district contested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candidate, by such amount of Sri Lankan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fixed for that election by the 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6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Parliamentary Elections Act, No. 1 of 1981,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of the total number of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voters in the electoral district contested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candidate, by such amount of Sri Lankan rupees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for that election by the 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38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6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 Act, No. 15 of 1981,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of the total number of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voters in the electoral districts in the Island,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amount of Sri Lankan rupees as may be fixed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that election by the Election Commission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69" w:lineRule="auto" w:before="292" w:after="0"/>
        <w:ind w:left="1456" w:right="276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authorized amount in relation to 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parties and independent groups shall be calculated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taking into consideration the sum of money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total number of registered voters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area or the administrative district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electoral district or the electoral districts in the Island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contested by each recognized political party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independent group at an election conducted under any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2 and the number of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such recognized political party or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>group to contest such election.</w:t>
      </w:r>
    </w:p>
    <w:p>
      <w:pPr>
        <w:autoSpaceDN w:val="0"/>
        <w:autoSpaceDE w:val="0"/>
        <w:widowControl/>
        <w:spacing w:line="262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authorized amount calculated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subsections (3) and (4),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same day, on which the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9" w:lineRule="auto" w:before="294" w:after="234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consultation process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may be conducted by the Election Commission through </w:t>
      </w:r>
      <w:r>
        <w:rPr>
          <w:rFonts w:ascii="Times" w:hAnsi="Times" w:eastAsia="Times"/>
          <w:b w:val="0"/>
          <w:i w:val="0"/>
          <w:color w:val="221F1F"/>
          <w:sz w:val="20"/>
        </w:rPr>
        <w:t>the relevant returning officers.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recognized political party, an independent group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candidate at an election conducted under any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section 2, shall not incur expenditure in excess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authorized amounts referred to in subsections (3)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of section 3 as the case may be,  in respect of such election.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Restriction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recognized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political party,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independent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group and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candidate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08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54" w:lineRule="auto" w:before="256" w:after="20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candidate incurs expenditure in excess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amount referred to in subsection (3) of section 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such election, such candidate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of an illegal practice within the meaning of the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2 under which such election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and, shall be liable to the penalties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law in respect of the offence of an illegal practice,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candidate proves that such expenditure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without any sanction or connivance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candidate.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acceptance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donations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2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recognized political party, an independent group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candidate at an election conducted under any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section 2, shall not, directly or indirectly accept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receive a donation or contribution whether such donation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contribution is in cash or kind from-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government department, a public corporation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under the Companies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No.7 of 2007 or under any former written law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companies in which the government or a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owns any shares;</w:t>
      </w:r>
    </w:p>
    <w:p>
      <w:pPr>
        <w:autoSpaceDN w:val="0"/>
        <w:tabs>
          <w:tab w:pos="3504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government, an international organization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body corporate incorporated or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in Sri Lanka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7 of 2007 or under any 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relating to companies where the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shareholding in such company, either direct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indirect, is fifty percent or above; or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person</w:t>
      </w:r>
      <w:r>
        <w:rPr>
          <w:rFonts w:ascii="Times" w:hAnsi="Times" w:eastAsia="Times"/>
          <w:b w:val="0"/>
          <w:i w:val="0"/>
          <w:color w:val="221F1F"/>
          <w:sz w:val="20"/>
        </w:rPr>
        <w:t>whose identity is not disclosed,</w:t>
      </w:r>
    </w:p>
    <w:p>
      <w:pPr>
        <w:autoSpaceDN w:val="0"/>
        <w:autoSpaceDE w:val="0"/>
        <w:widowControl/>
        <w:spacing w:line="250" w:lineRule="auto" w:before="266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promoting or procuring the election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recognized political party, independent group or </w:t>
      </w:r>
      <w:r>
        <w:rPr>
          <w:rFonts w:ascii="Times" w:hAnsi="Times" w:eastAsia="Times"/>
          <w:b w:val="0"/>
          <w:i w:val="0"/>
          <w:color w:val="221F1F"/>
          <w:sz w:val="20"/>
        </w:rPr>
        <w:t>candidate at such election.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38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54" w:lineRule="auto" w:before="256" w:after="20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candidate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of an illegal practice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meaning of the law specified in section 2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election was conducted and shall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penalties imposed under such laws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offence of an illegal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3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2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recognized political party, independent group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candidate at an election conducted under any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section 2 shall within twenty-one days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publication of the result of such election, submit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respective authority specified in subsection (3) -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return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donations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contributions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received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incurred</w:t>
            </w:r>
          </w:p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return of all donations or contributions accepted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received by such recognized political party,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independent group or candidate on behalf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political party, independent group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candidate; and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return of all expenses incurred by such recognized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party, independent group or candidate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such recognized political party,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group or candidate,</w:t>
      </w:r>
    </w:p>
    <w:p>
      <w:pPr>
        <w:autoSpaceDN w:val="0"/>
        <w:autoSpaceDE w:val="0"/>
        <w:widowControl/>
        <w:spacing w:line="247" w:lineRule="auto" w:before="26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promoting or procuring the election of such 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>political party, independent group or candidate.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 “date of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results of such election” means, the date of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>of results –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66 of the Local Authorities Elections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262) in the case of an 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under that Ordinance;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60 of the Provincial Councils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 in the case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election conducted under that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08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156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62 of the Parliamentary Elections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 of 1981 in the case of an election conducted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that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64(2) of the Presidential Elections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15 of 1981 in the case of an 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under that Act.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returns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by the recognized political party,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>group and candidate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5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8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returning officer of the respective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area with a copy to the 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in the case of an election conducted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Local Authorities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Elections Ordinance (Chapter 262);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returning officer of the respective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administrative district with a copy to the 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in the case of an election conducted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Provincial Councils Elections Act, No. 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1988;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returning officer of the respective electoral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district with a copy to the Election Commission,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of an election conducted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Parliamentary Elections Act, No. 1 of 1981; or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Election Commission, in the case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election conducted under the Presidential Elections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15 of 1981.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45" w:lineRule="auto" w:before="158" w:after="15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return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state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17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amount of every donation or contribution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accepted or received by or on behalf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recognized political party, independent group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candidate, and if the donation or contribution is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kind, the estimated value of the donation or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38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6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donation or contribution was by way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gift, loan, advance or deposit; 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name, address and National Identity Card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or registration number as the case may 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individual or body of persons incorporated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unincorporated making such donation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contribution.</w:t>
      </w:r>
    </w:p>
    <w:p>
      <w:pPr>
        <w:autoSpaceDN w:val="0"/>
        <w:autoSpaceDE w:val="0"/>
        <w:widowControl/>
        <w:spacing w:line="262" w:lineRule="auto" w:before="29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The return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include expenditure incurred by or on behalf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political party, independent group or candidate,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paid or unpaid for –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printing, publication, pasting, exhibition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display of, advertisements, handbills, flags,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drawings, photographs, placards or posters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election;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and broadcast, on radio or television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advertisements relating to such election;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and publication in newspapers,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journals, social media, digital hoardings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digital media, or other publications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advertisements relating to such election;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hiring or use of any premises or equipment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holding of meetings relating to such election;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hiring of vehicles for activities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other than expenditure for the  hiring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vehicles for the transport of the candidate; and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 of fuel for the running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vehicles,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08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bills and receipts confirming the same, and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above services were obtained without payment,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and the addresses of the persons from whom such </w:t>
      </w:r>
      <w:r>
        <w:rPr>
          <w:rFonts w:ascii="Times" w:hAnsi="Times" w:eastAsia="Times"/>
          <w:b w:val="0"/>
          <w:i w:val="0"/>
          <w:color w:val="221F1F"/>
          <w:sz w:val="20"/>
        </w:rPr>
        <w:t>services were obtained shall be included: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expenditure incurred by or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the recognized political party, independent group </w:t>
      </w:r>
      <w:r>
        <w:rPr>
          <w:rFonts w:ascii="Times" w:hAnsi="Times" w:eastAsia="Times"/>
          <w:b w:val="0"/>
          <w:i w:val="0"/>
          <w:color w:val="221F1F"/>
          <w:sz w:val="20"/>
        </w:rPr>
        <w:t>or candidate for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transport of the candidate within the area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election is being held;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stationery, telephone or other means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communication,</w:t>
      </w:r>
    </w:p>
    <w:p>
      <w:pPr>
        <w:autoSpaceDN w:val="0"/>
        <w:autoSpaceDE w:val="0"/>
        <w:widowControl/>
        <w:spacing w:line="245" w:lineRule="auto" w:before="25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included in the return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autoSpaceDN w:val="0"/>
        <w:autoSpaceDE w:val="0"/>
        <w:widowControl/>
        <w:spacing w:line="250" w:lineRule="auto" w:before="254" w:after="194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returns referred to in subsection (1) shall be 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recognized political party, group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leader of the independent group or the candidate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and  accompanied by a declaration signed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group leader or candidate and attested by a Justice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Peace, to the effect that the information in such returns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to the best of the knowledge of such secretary, group </w:t>
      </w:r>
      <w:r>
        <w:rPr>
          <w:rFonts w:ascii="Times" w:hAnsi="Times" w:eastAsia="Times"/>
          <w:b w:val="0"/>
          <w:i w:val="0"/>
          <w:color w:val="221F1F"/>
          <w:sz w:val="20"/>
        </w:rPr>
        <w:t>leader or candidate,  true and 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relating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receipt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returns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5" w:lineRule="auto" w:before="60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receipt of the returns and declarations submitted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 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respective returning officer, in the case of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conducted under the Local Authorities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Ordinance (Chapter 262), the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Councils Elections Act, No. 2 of 1988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Parliamentary Elections Act, No. 1 of 1981;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Commission, in the case of an 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under the Presidential Elections Act, No.</w:t>
      </w:r>
    </w:p>
    <w:p>
      <w:pPr>
        <w:autoSpaceDN w:val="0"/>
        <w:autoSpaceDE w:val="0"/>
        <w:widowControl/>
        <w:spacing w:line="235" w:lineRule="auto" w:before="16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15 of 1981,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238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54" w:lineRule="auto" w:before="25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a notice to be published in at least one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in the Sinhala, Tamil and English languages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stating that the returning officer or the Election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has received the returns and declarations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by the recognized political party,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group or candidate named in the notice and indicating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and time at which such returns and declarations may </w:t>
      </w:r>
      <w:r>
        <w:rPr>
          <w:rFonts w:ascii="Times" w:hAnsi="Times" w:eastAsia="Times"/>
          <w:b w:val="0"/>
          <w:i w:val="0"/>
          <w:color w:val="221F1F"/>
          <w:sz w:val="20"/>
        </w:rPr>
        <w:t>be inspected by any person.</w:t>
      </w:r>
    </w:p>
    <w:p>
      <w:pPr>
        <w:autoSpaceDN w:val="0"/>
        <w:autoSpaceDE w:val="0"/>
        <w:widowControl/>
        <w:spacing w:line="245" w:lineRule="auto" w:before="25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notice referred to in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within ten days after the expiry of the time period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(1) of section 6.</w:t>
      </w:r>
    </w:p>
    <w:p>
      <w:pPr>
        <w:autoSpaceDN w:val="0"/>
        <w:autoSpaceDE w:val="0"/>
        <w:widowControl/>
        <w:spacing w:line="254" w:lineRule="auto" w:before="256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returning officer and the Election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permit a person to inspect the returns and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a recognized political party, an independent group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candidate at the place and time mentioned in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under subsection (1) and shall allow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copies of such returns or declaration on payment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of such amount as may be determined by the Election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candidate, at an election conducted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who –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illegal practice</w:t>
            </w:r>
          </w:p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fails, without reasonable cause, to comply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subsection (1) of section 6; or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any statement in any such return submitted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6 or in a declaration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(6) of section 6, being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which such person knows, or ought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 to have known, to be false,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an illegal practice within the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law specified in section 2 under which such election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conducted, and shall be liable to penalties specified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law for the commission of an illegal practice.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08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tabs>
          <w:tab w:pos="3024" w:val="left"/>
        </w:tabs>
        <w:autoSpaceDE w:val="0"/>
        <w:widowControl/>
        <w:spacing w:line="235" w:lineRule="auto" w:before="29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Act, unless the context otherwise requires -</w:t>
      </w:r>
    </w:p>
    <w:p>
      <w:pPr>
        <w:autoSpaceDN w:val="0"/>
        <w:autoSpaceDE w:val="0"/>
        <w:widowControl/>
        <w:spacing w:line="245" w:lineRule="auto" w:before="242" w:after="0"/>
        <w:ind w:left="4042" w:right="1436" w:hanging="5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“administrative district” means, the administrative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established under the Administrative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Districts Act (Chapter 392);</w:t>
      </w:r>
    </w:p>
    <w:p>
      <w:pPr>
        <w:autoSpaceDN w:val="0"/>
        <w:autoSpaceDE w:val="0"/>
        <w:widowControl/>
        <w:spacing w:line="245" w:lineRule="auto" w:before="242" w:after="0"/>
        <w:ind w:left="4102" w:right="1436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“donation or contribution accepted or received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a recognized political party,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independent group or a candidate” means,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donation or contribution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accepted or received directly or indirectly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express or implied consent of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political party, the independent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group or candidate;</w:t>
      </w:r>
    </w:p>
    <w:p>
      <w:pPr>
        <w:autoSpaceDN w:val="0"/>
        <w:autoSpaceDE w:val="0"/>
        <w:widowControl/>
        <w:spacing w:line="238" w:lineRule="auto" w:before="240" w:after="0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“election” means, an election conducted under –</w:t>
      </w:r>
    </w:p>
    <w:p>
      <w:pPr>
        <w:autoSpaceDN w:val="0"/>
        <w:tabs>
          <w:tab w:pos="4384" w:val="left"/>
        </w:tabs>
        <w:autoSpaceDE w:val="0"/>
        <w:widowControl/>
        <w:spacing w:line="245" w:lineRule="auto" w:before="240" w:after="0"/>
        <w:ind w:left="4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Local Authorities Elections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262);</w:t>
      </w:r>
    </w:p>
    <w:p>
      <w:pPr>
        <w:autoSpaceDN w:val="0"/>
        <w:tabs>
          <w:tab w:pos="4384" w:val="left"/>
        </w:tabs>
        <w:autoSpaceDE w:val="0"/>
        <w:widowControl/>
        <w:spacing w:line="245" w:lineRule="auto" w:before="242" w:after="0"/>
        <w:ind w:left="4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Provincial Councils Elections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 of 1988;</w:t>
      </w:r>
    </w:p>
    <w:p>
      <w:pPr>
        <w:autoSpaceDN w:val="0"/>
        <w:tabs>
          <w:tab w:pos="4384" w:val="left"/>
        </w:tabs>
        <w:autoSpaceDE w:val="0"/>
        <w:widowControl/>
        <w:spacing w:line="245" w:lineRule="auto" w:before="240" w:after="0"/>
        <w:ind w:left="405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Parliamentary Elections Act, No. 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1981;</w:t>
      </w:r>
    </w:p>
    <w:p>
      <w:pPr>
        <w:autoSpaceDN w:val="0"/>
        <w:tabs>
          <w:tab w:pos="4384" w:val="left"/>
        </w:tabs>
        <w:autoSpaceDE w:val="0"/>
        <w:widowControl/>
        <w:spacing w:line="245" w:lineRule="auto" w:before="242" w:after="0"/>
        <w:ind w:left="4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Presidential Elections Act, No. 15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1981;</w:t>
      </w:r>
    </w:p>
    <w:p>
      <w:pPr>
        <w:autoSpaceDN w:val="0"/>
        <w:autoSpaceDE w:val="0"/>
        <w:widowControl/>
        <w:spacing w:line="245" w:lineRule="auto" w:before="240" w:after="0"/>
        <w:ind w:left="4102" w:right="1436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“electoral district” means, an electoral district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a Proclamation under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97 of the Constitution and for the time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force; and</w:t>
      </w:r>
    </w:p>
    <w:p>
      <w:pPr>
        <w:autoSpaceDN w:val="0"/>
        <w:autoSpaceDE w:val="0"/>
        <w:widowControl/>
        <w:spacing w:line="245" w:lineRule="auto" w:before="242" w:after="180"/>
        <w:ind w:left="345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Urban Council or Pradeshiya Sabha.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 of 2023</w:t>
      </w:r>
    </w:p>
    <w:p>
      <w:pPr>
        <w:autoSpaceDN w:val="0"/>
        <w:autoSpaceDE w:val="0"/>
        <w:widowControl/>
        <w:spacing w:line="245" w:lineRule="auto" w:before="890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