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332" w:lineRule="exact" w:before="784" w:after="0"/>
        <w:ind w:left="18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BETTING AND GAMING LEVY (AMENDMENT)</w:t>
      </w:r>
    </w:p>
    <w:p>
      <w:pPr>
        <w:autoSpaceDN w:val="0"/>
        <w:autoSpaceDE w:val="0"/>
        <w:widowControl/>
        <w:spacing w:line="332" w:lineRule="exact" w:before="0" w:after="0"/>
        <w:ind w:left="0" w:right="334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ACT, No. 11 OF 2023</w:t>
      </w:r>
    </w:p>
    <w:p>
      <w:pPr>
        <w:autoSpaceDN w:val="0"/>
        <w:autoSpaceDE w:val="0"/>
        <w:widowControl/>
        <w:spacing w:line="278" w:lineRule="exact" w:before="792" w:after="0"/>
        <w:ind w:left="0" w:right="303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21st of August, 2023]</w:t>
      </w:r>
    </w:p>
    <w:p>
      <w:pPr>
        <w:autoSpaceDN w:val="0"/>
        <w:autoSpaceDE w:val="0"/>
        <w:widowControl/>
        <w:spacing w:line="244" w:lineRule="exact" w:before="350" w:after="0"/>
        <w:ind w:left="0" w:right="299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856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25, 2023</w:t>
      </w:r>
    </w:p>
    <w:p>
      <w:pPr>
        <w:autoSpaceDN w:val="0"/>
        <w:autoSpaceDE w:val="0"/>
        <w:widowControl/>
        <w:spacing w:line="214" w:lineRule="exact" w:before="280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Betting and Gaming Levy 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038" w:val="left"/>
          <w:tab w:pos="2400" w:val="left"/>
          <w:tab w:pos="3036" w:val="left"/>
        </w:tabs>
        <w:autoSpaceDE w:val="0"/>
        <w:widowControl/>
        <w:spacing w:line="398" w:lineRule="exact" w:before="34" w:after="166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21st of August, 2023]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17/2022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ETTING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AMING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40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898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0" w:val="left"/>
              </w:tabs>
              <w:autoSpaceDE w:val="0"/>
              <w:widowControl/>
              <w:spacing w:line="278" w:lineRule="exact" w:before="58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Betting and Gaming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Levy (Amendment) Act, No. 11 of 2023.</w:t>
            </w:r>
          </w:p>
          <w:p>
            <w:pPr>
              <w:autoSpaceDN w:val="0"/>
              <w:tabs>
                <w:tab w:pos="1324" w:val="left"/>
              </w:tabs>
              <w:autoSpaceDE w:val="0"/>
              <w:widowControl/>
              <w:spacing w:line="278" w:lineRule="exact" w:before="224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Betting and Gaming Levy Act, No. 40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1988 (hereinafter referred to as the “principal enactment”)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last amended by Act, No. 14 of 2015 is hereby further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  <w:p>
            <w:pPr>
              <w:autoSpaceDN w:val="0"/>
              <w:autoSpaceDE w:val="0"/>
              <w:widowControl/>
              <w:spacing w:line="192" w:lineRule="exact" w:before="4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40 of 1988</w:t>
            </w:r>
          </w:p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(1A) of that section-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9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words, “five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or” of the words, “five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4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9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and figures, “on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after January 1, 2015, at the rate of 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per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” of the words and figures, “on or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January 1, 2015 but ending prior to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2023 at the rate of 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 or”;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9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subsection of the following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any year commencing on or after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14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" w:after="0"/>
              <w:ind w:left="2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April 1, 2023, at the rate of fifteen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per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centum,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9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that subsection by the substitution for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words, “on the gross collection” of the words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“on the gross collection (hereinafter referred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“gross collection levy”)”;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first proviso to that subsection by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figures, “Value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Added Tax under the Value Added Tax Act,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14 of 2002 or the Nation Building Tax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Nation Building Tax Act, No. 9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2009,” of the words and figures, “Value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Added Tax under the Value Added Tax Act,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14 of 2002,the Nation Building Tax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Nation Building Tax Act, No. 9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2009 or the Social Security Contribution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Levy under the Social Security Contribution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Levy Act, No. 25 of 2022,”;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(1AA) of that section by the repeal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from the words, “Every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person” to the words, “any person who enters such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place of business of gaming:” and substitution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words and figures:-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“(1AA) Every person who carries on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gaming shall collect a levy (hereinafter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 the “casino entrance levy”) and pay such levy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Commissioner General in accordance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(1B)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section for each relevant instalment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4 as follows, for any period:-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174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commencing on or after January 1, 2015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ending prior to April 1, 2023 a casino entrance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levy of United States Dollars one hundred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equivalent in any other convertible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 or in Sri Lanka currency from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enters such place of business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gaming;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  <w:p>
            <w:pPr>
              <w:autoSpaceDN w:val="0"/>
              <w:autoSpaceDE w:val="0"/>
              <w:widowControl/>
              <w:spacing w:line="268" w:lineRule="exact" w:before="36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0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or after April 1, 2023 a casino</w:t>
            </w:r>
          </w:p>
        </w:tc>
      </w:tr>
      <w:tr>
        <w:trPr>
          <w:trHeight w:hRule="exact" w:val="1840"/>
        </w:trPr>
        <w:tc>
          <w:tcPr>
            <w:tcW w:type="dxa" w:w="2255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57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entrance levy of United States Dollars fifty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equivalent in any other convertible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 or in Sri Lanka currency from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is a citizen of Sri Lanka who enters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place of business of gaming:”;</w:t>
            </w:r>
          </w:p>
          <w:p>
            <w:pPr>
              <w:autoSpaceDN w:val="0"/>
              <w:autoSpaceDE w:val="0"/>
              <w:widowControl/>
              <w:spacing w:line="268" w:lineRule="exact" w:before="2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(1B) of that section-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words, “Every</w:t>
            </w:r>
          </w:p>
        </w:tc>
      </w:tr>
      <w:tr>
        <w:trPr>
          <w:trHeight w:hRule="exact" w:val="1840"/>
        </w:trPr>
        <w:tc>
          <w:tcPr>
            <w:tcW w:type="dxa" w:w="2255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57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is liable to pay the levy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(1A) and subsection (1AA),”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words, “Every person who is liable to pay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gross collection levy 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(1A) and every person who is liable to collect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pay the casino entrance levy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(1AA),”;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</w:tr>
      <w:tr>
        <w:trPr>
          <w:trHeight w:hRule="exact" w:val="1794"/>
        </w:trPr>
        <w:tc>
          <w:tcPr>
            <w:tcW w:type="dxa" w:w="2255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57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words, “remit the levies”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words, “pay to the Commissioner-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the levies”;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9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subsection (1C) of that section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substitution therefor,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subsection: -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2138" w:right="280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“(1C)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any person who is liable to pay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levies referred to in subsections (1) and (1A)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collect and pay the casino entrance levy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(1AA), fails to collect and pay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levies charged, the provisions of subsections (2),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(3), (4), (5), (5A) and (6) of section 4, as applicable,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apply in respect of such failure; and</w:t>
      </w:r>
    </w:p>
    <w:p>
      <w:pPr>
        <w:autoSpaceDN w:val="0"/>
        <w:autoSpaceDE w:val="0"/>
        <w:widowControl/>
        <w:spacing w:line="246" w:lineRule="exact" w:before="246" w:after="0"/>
        <w:ind w:left="2138" w:right="280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manner and the procedure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collection and payment of the levy under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(1AA) may be prescribed by the Minister.”.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  <w:tr>
        <w:trPr>
          <w:trHeight w:hRule="exact" w:val="10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762" w:val="left"/>
                <w:tab w:pos="1756" w:val="left"/>
              </w:tabs>
              <w:autoSpaceDE w:val="0"/>
              <w:widowControl/>
              <w:spacing w:line="322" w:lineRule="exact" w:before="0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Act, No. 11 of 2023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of the following new subsections:-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Every person who carries on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gaming referred to in subsection (1) of section 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entitled to obtain a license issued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the Casino Business (Regulations)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17 of 2010 and shall register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Inland Revenue within one month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issuance of such license:</w:t>
      </w:r>
    </w:p>
    <w:p>
      <w:pPr>
        <w:autoSpaceDN w:val="0"/>
        <w:autoSpaceDE w:val="0"/>
        <w:widowControl/>
        <w:spacing w:line="240" w:lineRule="exact" w:before="240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any person who has obtained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 under section 2 of the Casino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(Regulations) Act, No. 17 of 2010 for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gaming and has not registered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Inland Revenue before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of this Act, shall register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Inland Revenue within one month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such date of operation:</w:t>
      </w:r>
    </w:p>
    <w:p>
      <w:pPr>
        <w:autoSpaceDN w:val="0"/>
        <w:autoSpaceDE w:val="0"/>
        <w:widowControl/>
        <w:spacing w:line="246" w:lineRule="exact" w:before="234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for the purpose of this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of gaming shall involve providing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gaming opportunities at a casino</w:t>
      </w:r>
      <w:r>
        <w:rPr>
          <w:rFonts w:ascii="Times" w:hAnsi="Times" w:eastAsia="Times"/>
          <w:b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6" w:lineRule="exact" w:before="244" w:after="0"/>
        <w:ind w:left="3502" w:right="1436" w:firstLine="200"/>
        <w:jc w:val="both"/>
      </w:pPr>
      <w:r>
        <w:rPr>
          <w:rFonts w:ascii="Times" w:hAnsi="Times" w:eastAsia="Times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1B) Every person who carries on the business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bookmaker referred to in subsection (1) of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 shall register with the Department of Inland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Revenue within one month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the business:</w:t>
      </w:r>
    </w:p>
    <w:p>
      <w:pPr>
        <w:autoSpaceDN w:val="0"/>
        <w:autoSpaceDE w:val="0"/>
        <w:widowControl/>
        <w:spacing w:line="240" w:lineRule="exact" w:before="240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any person who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commenced the business of bookmaker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of this Act and has not registered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Department of Inland Revenue shall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Department of Inland Revenue within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 from such date of operation.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5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7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4" w:after="0"/>
              <w:ind w:left="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(2)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“registered under subsection (1).”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words, “registered under subsections (1), (1A)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(1B).”;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(3)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“subsection (1),” of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“subsections (1), (1A) and (1B),”.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2" w:val="left"/>
              </w:tabs>
              <w:autoSpaceDE w:val="0"/>
              <w:widowControl/>
              <w:spacing w:line="280" w:lineRule="exact" w:before="106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subsection (2) of that section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140"/>
        <w:ind w:left="217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Where any person who is liable to pay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levies referred to in subsections (1), (1A) and collect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pay the casino entrance levy 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(1AA) of section 2, fails to pay–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319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3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96" w:right="13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levy on gross collection or part thereof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in subsection (1A)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assessed by an Assistant Commissioner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period, required to be paid on or before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specified in the notice of assessment;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instalment of the levy or part thereof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levy on gross collection or part thereof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collect and pay the casino entrance levy,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in subsections (1), (1A) and (1AA)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respectively on or before the dates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</w:t>
            </w:r>
          </w:p>
        </w:tc>
      </w:tr>
    </w:tbl>
    <w:p>
      <w:pPr>
        <w:autoSpaceDN w:val="0"/>
        <w:autoSpaceDE w:val="0"/>
        <w:widowControl/>
        <w:spacing w:line="236" w:lineRule="exact" w:before="172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levy, instalment of the levy or part thereof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 and such person who is liable to collect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 such levies shall be a defaulter for the purposes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9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section-</w:t>
            </w:r>
          </w:p>
        </w:tc>
      </w:tr>
      <w:tr>
        <w:trPr>
          <w:trHeight w:hRule="exact" w:val="2122"/>
        </w:trPr>
        <w:tc>
          <w:tcPr>
            <w:tcW w:type="dxa" w:w="180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words, “Where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instalment of the levy is in default and-”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and figures, “Where any instalment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levy or part thereof or the gross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collection levy or part thereof or the casino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entrance levy, respectively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subsections (1), (1A) and (1AA) of the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is in default and –”;</w:t>
            </w:r>
          </w:p>
        </w:tc>
      </w:tr>
      <w:tr>
        <w:trPr>
          <w:trHeight w:hRule="exact" w:val="16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104" w:right="716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subsection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words, “the default is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 instalment”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figures, “the default is in respect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instalment of the levy under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2”;</w:t>
            </w:r>
          </w:p>
        </w:tc>
      </w:tr>
      <w:tr>
        <w:trPr>
          <w:trHeight w:hRule="exact" w:val="16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4" w:right="716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subsection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words, “the default is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 instalment”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figures, “the default is in respect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instalment of the levy under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2”;</w:t>
            </w:r>
          </w:p>
        </w:tc>
      </w:tr>
      <w:tr>
        <w:trPr>
          <w:trHeight w:hRule="exact" w:val="92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 immediately after the proviso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(3) of that section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paragraph: -</w:t>
            </w:r>
          </w:p>
        </w:tc>
      </w:tr>
      <w:tr>
        <w:trPr>
          <w:trHeight w:hRule="exact" w:val="11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default is in respect of levies payable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subsections (1A) and (1AA)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2, the defaulter shall in addition to the levy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default, pay-</w:t>
            </w:r>
          </w:p>
        </w:tc>
      </w:tr>
      <w:tr>
        <w:trPr>
          <w:trHeight w:hRule="exact" w:val="7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184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penalty of a sum equivalent to 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per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such levy; and</w:t>
            </w:r>
          </w:p>
        </w:tc>
      </w:tr>
      <w:tr>
        <w:trPr>
          <w:trHeight w:hRule="exact" w:val="8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18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further penalty of a sum equivalent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levy in default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each further period of thirty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Betting and Gaming Levy 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40" w:lineRule="exact" w:before="182" w:after="0"/>
        <w:ind w:left="313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days or part thereof, during which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remains in default where such levy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paid before the expiry of thirty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days, from the time it begins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default:</w:t>
      </w:r>
    </w:p>
    <w:p>
      <w:pPr>
        <w:autoSpaceDN w:val="0"/>
        <w:autoSpaceDE w:val="0"/>
        <w:widowControl/>
        <w:spacing w:line="240" w:lineRule="exact" w:before="240" w:after="154"/>
        <w:ind w:left="313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total amount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as a penalty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shall in no case exceed fifty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levy in default.”;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254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  <w:p>
            <w:pPr>
              <w:autoSpaceDN w:val="0"/>
              <w:autoSpaceDE w:val="0"/>
              <w:widowControl/>
              <w:spacing w:line="266" w:lineRule="exact" w:before="16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6" w:right="13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(4)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words, “Any instalment in default together”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words, “Any instalment of the levy or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thereof or the levy on gross collection or part thereof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the casino entrance levy, respectively referred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subsections (1), (1A) and (1AA) of section 2,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may be, is in default together”;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 immediately after subsection (5)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of the following new subsection:-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17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“(5A) In addition to the provisions of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(5), the provisions of Chapter IX, X,XI, XII, XIII,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XIV, XV, XVI, XVII, XVIII, XIX and XX of the Inland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Revenue Act, No. 24 of 2017, for the relevant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on or after April 1, 2018,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respectively to Administration Provisions,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Keeping and Information Collection,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Returns, Assessments, Objection and Appeals,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Liability for and Payment of Tax, Interest, Recovery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Tax, Penalties, Criminal Proceedings,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and Interpretation shall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mutatis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respectively to administration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provisions, record keeping, and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collection, tax returns assessments, objection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appeals, liability for and payment of tax, interest,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recovery of tax, penalties, criminal proceedings,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regulations and interpretations under this Act.”;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(6) inserted by the</w:t>
            </w:r>
          </w:p>
        </w:tc>
      </w:tr>
    </w:tbl>
    <w:p>
      <w:pPr>
        <w:autoSpaceDN w:val="0"/>
        <w:autoSpaceDE w:val="0"/>
        <w:widowControl/>
        <w:spacing w:line="296" w:lineRule="exact" w:before="0" w:after="286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Betting and Gaming Levy (Amendment) Act, No.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14 of 2015.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96" w:lineRule="exact" w:before="42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as follows:-</w:t>
            </w:r>
          </w:p>
        </w:tc>
      </w:tr>
    </w:tbl>
    <w:p>
      <w:pPr>
        <w:autoSpaceDN w:val="0"/>
        <w:autoSpaceDE w:val="0"/>
        <w:widowControl/>
        <w:spacing w:line="306" w:lineRule="exact" w:before="20" w:after="0"/>
        <w:ind w:left="3522" w:right="1418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(1)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figures, “section 190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Inland Revenue Act” of the words and figures,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“section 38 of the Turnover Tax Act”;</w:t>
      </w:r>
    </w:p>
    <w:p>
      <w:pPr>
        <w:autoSpaceDN w:val="0"/>
        <w:autoSpaceDE w:val="0"/>
        <w:widowControl/>
        <w:spacing w:line="306" w:lineRule="exact" w:before="306" w:after="0"/>
        <w:ind w:left="3522" w:right="1418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in paragraph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figures, “section 214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section 215 of the Inland Revenue Act”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figures, “section 42 or section 43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Turnover Tax Act”;</w:t>
      </w:r>
    </w:p>
    <w:p>
      <w:pPr>
        <w:autoSpaceDN w:val="0"/>
        <w:autoSpaceDE w:val="0"/>
        <w:widowControl/>
        <w:spacing w:line="306" w:lineRule="exact" w:before="306" w:after="0"/>
        <w:ind w:left="3522" w:right="1418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in 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figures, “section 209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Inland Revenue Act” of the words and figures,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“section 57 of the Turnover Tax Act”;</w:t>
      </w:r>
    </w:p>
    <w:p>
      <w:pPr>
        <w:autoSpaceDN w:val="0"/>
        <w:autoSpaceDE w:val="0"/>
        <w:widowControl/>
        <w:spacing w:line="306" w:lineRule="exact" w:before="306" w:after="286"/>
        <w:ind w:left="3522" w:right="1418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in 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figures, “section 209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Inland Revenue Act” of the words and figures,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“section 57 of the Turnover Tax Act”.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4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98" w:lineRule="exact" w:before="40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Betting and Gaming Levy 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312" w:lineRule="exact" w:before="158" w:after="0"/>
        <w:ind w:left="2176" w:right="2764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by the repeal of the definition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expressions “Commissioner-General” and “Deputy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Commissioner”;</w:t>
      </w:r>
    </w:p>
    <w:p>
      <w:pPr>
        <w:autoSpaceDN w:val="0"/>
        <w:autoSpaceDE w:val="0"/>
        <w:widowControl/>
        <w:spacing w:line="312" w:lineRule="exact" w:before="312" w:after="0"/>
        <w:ind w:left="2176" w:right="2764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by the repeal of the definition of the expression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“bookmaker” and the substitution therefor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definition:-</w:t>
      </w:r>
    </w:p>
    <w:p>
      <w:pPr>
        <w:autoSpaceDN w:val="0"/>
        <w:tabs>
          <w:tab w:pos="2656" w:val="left"/>
        </w:tabs>
        <w:autoSpaceDE w:val="0"/>
        <w:widowControl/>
        <w:spacing w:line="312" w:lineRule="exact" w:before="312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“bookmaker” means a person who receives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negotiates bets –</w:t>
      </w:r>
    </w:p>
    <w:p>
      <w:pPr>
        <w:autoSpaceDN w:val="0"/>
        <w:autoSpaceDE w:val="0"/>
        <w:widowControl/>
        <w:spacing w:line="268" w:lineRule="exact" w:before="356" w:after="0"/>
        <w:ind w:left="0" w:right="4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directly or indirectly;</w:t>
      </w:r>
    </w:p>
    <w:p>
      <w:pPr>
        <w:autoSpaceDN w:val="0"/>
        <w:autoSpaceDE w:val="0"/>
        <w:widowControl/>
        <w:spacing w:line="268" w:lineRule="exact" w:before="356" w:after="0"/>
        <w:ind w:left="0" w:right="40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cash or on credit; or</w:t>
      </w:r>
    </w:p>
    <w:p>
      <w:pPr>
        <w:autoSpaceDN w:val="0"/>
        <w:autoSpaceDE w:val="0"/>
        <w:widowControl/>
        <w:spacing w:line="268" w:lineRule="exact" w:before="356" w:after="0"/>
        <w:ind w:left="0" w:right="4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via internet,</w:t>
      </w:r>
    </w:p>
    <w:p>
      <w:pPr>
        <w:autoSpaceDN w:val="0"/>
        <w:autoSpaceDE w:val="0"/>
        <w:widowControl/>
        <w:spacing w:line="312" w:lineRule="exact" w:before="312" w:after="0"/>
        <w:ind w:left="277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horse races which are run or are proposed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run or any sport event to be held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to be held in Sri Lanka or outside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Lanka;”;</w:t>
      </w:r>
    </w:p>
    <w:p>
      <w:pPr>
        <w:autoSpaceDN w:val="0"/>
        <w:autoSpaceDE w:val="0"/>
        <w:widowControl/>
        <w:spacing w:line="312" w:lineRule="exact" w:before="312" w:after="0"/>
        <w:ind w:left="2176" w:right="276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by the insertion immediately after the definition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expression “business”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definitions:-</w:t>
      </w:r>
    </w:p>
    <w:p>
      <w:pPr>
        <w:autoSpaceDN w:val="0"/>
        <w:autoSpaceDE w:val="0"/>
        <w:widowControl/>
        <w:spacing w:line="312" w:lineRule="exact" w:before="312" w:after="0"/>
        <w:ind w:left="2656" w:right="2764" w:hanging="3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“casino” shall have the same meaning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expression under the Casino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(Regulations) Act, No. 17 of 2010;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Betting and Gaming Levy 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</w:tr>
    </w:tbl>
    <w:p>
      <w:pPr>
        <w:autoSpaceDN w:val="0"/>
        <w:autoSpaceDE w:val="0"/>
        <w:widowControl/>
        <w:spacing w:line="276" w:lineRule="exact" w:before="170" w:after="224"/>
        <w:ind w:left="3982" w:right="1436" w:hanging="31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“citizen of Sri Lanka” means a person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possesses the status of a citizenship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under the Citizenship Act (Chapter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349);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“Commissioner-General”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“Deputy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3982" w:right="14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Commissioner” shall have the same meanings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such expressions by section 59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Turnover Tax Act;”;</w:t>
      </w:r>
    </w:p>
    <w:p>
      <w:pPr>
        <w:autoSpaceDN w:val="0"/>
        <w:autoSpaceDE w:val="0"/>
        <w:widowControl/>
        <w:spacing w:line="276" w:lineRule="exact" w:before="276" w:after="224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definition of the expression “gaming”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words, “individual have access”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words, “individual have access physically 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internet”.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0" w:right="3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Validation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6" w:after="0"/>
              <w:ind w:left="362" w:right="576" w:firstLine="45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amount of the levy charged 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(1A) and charged and collected under subsection (1AA) of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the principal enactment by or on behalf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by any person authorized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principal enactment from any person during the period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April 1, 2023 and ending on the date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certificate of the Speaker is endorsed in respect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be deemed to have been validly charged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collected by the Commissioner-General or by any such </w:t>
      </w:r>
      <w:r>
        <w:rPr>
          <w:rFonts w:ascii="Times" w:hAnsi="Times" w:eastAsia="Times"/>
          <w:b w:val="0"/>
          <w:i w:val="0"/>
          <w:color w:val="000000"/>
          <w:sz w:val="20"/>
        </w:rPr>
        <w:t>person under the principal enactment:</w:t>
      </w:r>
    </w:p>
    <w:p>
      <w:pPr>
        <w:autoSpaceDN w:val="0"/>
        <w:autoSpaceDE w:val="0"/>
        <w:widowControl/>
        <w:spacing w:line="276" w:lineRule="exact" w:before="276" w:after="22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aforesaid provisions shall not affect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decision or order made by any court or any proceeding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in any Court in respect of any levy charged and </w:t>
      </w:r>
      <w:r>
        <w:rPr>
          <w:rFonts w:ascii="Times" w:hAnsi="Times" w:eastAsia="Times"/>
          <w:b w:val="0"/>
          <w:i w:val="0"/>
          <w:color w:val="221F1F"/>
          <w:sz w:val="20"/>
        </w:rPr>
        <w:t>collected during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7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Schedule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8" w:after="0"/>
              <w:ind w:left="18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Schedule to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replaced and the following Schedule is substituted therefor:-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Betting and Gaming Levy 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22" w:lineRule="exact" w:before="344" w:after="0"/>
        <w:ind w:left="0" w:right="4680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“SCHEDULE</w:t>
      </w:r>
    </w:p>
    <w:p>
      <w:pPr>
        <w:autoSpaceDN w:val="0"/>
        <w:autoSpaceDE w:val="0"/>
        <w:widowControl/>
        <w:spacing w:line="212" w:lineRule="exact" w:before="18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[Section 2]</w:t>
      </w:r>
    </w:p>
    <w:p>
      <w:pPr>
        <w:autoSpaceDN w:val="0"/>
        <w:autoSpaceDE w:val="0"/>
        <w:widowControl/>
        <w:spacing w:line="214" w:lineRule="exact" w:before="186" w:after="0"/>
        <w:ind w:left="0" w:right="4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ART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</w:t>
      </w:r>
    </w:p>
    <w:p>
      <w:pPr>
        <w:autoSpaceDN w:val="0"/>
        <w:autoSpaceDE w:val="0"/>
        <w:widowControl/>
        <w:spacing w:line="192" w:lineRule="exact" w:before="192" w:after="35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amount of the levy payable by a person carrying on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business of a bookmaker for every year specified in Column I hereto,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be equivalent to the amount specified in the corresponding </w:t>
      </w:r>
      <w:r>
        <w:rPr>
          <w:rFonts w:ascii="Times" w:hAnsi="Times" w:eastAsia="Times"/>
          <w:b w:val="0"/>
          <w:i w:val="0"/>
          <w:color w:val="000000"/>
          <w:sz w:val="16"/>
        </w:rPr>
        <w:t>entry in Column II hereto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4510"/>
        <w:gridCol w:w="4510"/>
      </w:tblGrid>
      <w:tr>
        <w:trPr>
          <w:trHeight w:hRule="exact" w:val="352"/>
        </w:trPr>
        <w:tc>
          <w:tcPr>
            <w:tcW w:type="dxa" w:w="30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1866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368"/>
        </w:trPr>
        <w:tc>
          <w:tcPr>
            <w:tcW w:type="dxa" w:w="30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Year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Amount of Levy</w:t>
            </w:r>
          </w:p>
        </w:tc>
      </w:tr>
      <w:tr>
        <w:trPr>
          <w:trHeight w:hRule="exact" w:val="956"/>
        </w:trPr>
        <w:tc>
          <w:tcPr>
            <w:tcW w:type="dxa" w:w="30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6" w:after="0"/>
              <w:ind w:left="46" w:right="12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1. For every year commencing 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April 1, 1988 but prior to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2001 for carrying on the business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booker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8" w:after="0"/>
              <w:ind w:left="11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thousand rupees</w:t>
            </w:r>
          </w:p>
        </w:tc>
      </w:tr>
      <w:tr>
        <w:trPr>
          <w:trHeight w:hRule="exact" w:val="924"/>
        </w:trPr>
        <w:tc>
          <w:tcPr>
            <w:tcW w:type="dxa" w:w="30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8" w:after="0"/>
              <w:ind w:left="46" w:right="12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2. For every year commencing 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April 1, 2001 but prior to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2002 for carrying on the business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bookmaker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One million rupees</w:t>
            </w:r>
          </w:p>
        </w:tc>
      </w:tr>
      <w:tr>
        <w:trPr>
          <w:trHeight w:hRule="exact" w:val="2030"/>
        </w:trPr>
        <w:tc>
          <w:tcPr>
            <w:tcW w:type="dxa" w:w="30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4" w:after="0"/>
              <w:ind w:left="46" w:right="12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3. For every year commencing 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April 1, 2002  but prior to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2005 where the business of bookmaker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carried out–</w:t>
            </w:r>
          </w:p>
          <w:p>
            <w:pPr>
              <w:autoSpaceDN w:val="0"/>
              <w:tabs>
                <w:tab w:pos="646" w:val="left"/>
              </w:tabs>
              <w:autoSpaceDE w:val="0"/>
              <w:widowControl/>
              <w:spacing w:line="186" w:lineRule="exact" w:before="192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(i) with the use of live telecast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</w:t>
            </w:r>
          </w:p>
          <w:p>
            <w:pPr>
              <w:autoSpaceDN w:val="0"/>
              <w:tabs>
                <w:tab w:pos="646" w:val="left"/>
              </w:tabs>
              <w:autoSpaceDE w:val="0"/>
              <w:widowControl/>
              <w:spacing w:line="186" w:lineRule="exact" w:before="192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(ii) without the use of live telecast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Thirty thousand rupees</w:t>
            </w:r>
          </w:p>
          <w:p>
            <w:pPr>
              <w:autoSpaceDN w:val="0"/>
              <w:autoSpaceDE w:val="0"/>
              <w:widowControl/>
              <w:spacing w:line="214" w:lineRule="exact" w:before="35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Ten thousand rupees</w:t>
            </w:r>
          </w:p>
        </w:tc>
      </w:tr>
      <w:tr>
        <w:trPr>
          <w:trHeight w:hRule="exact" w:val="2060"/>
        </w:trPr>
        <w:tc>
          <w:tcPr>
            <w:tcW w:type="dxa" w:w="30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4" w:after="0"/>
              <w:ind w:left="46" w:right="120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4. For every year commencing 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April 1, 2005  but prior to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2006 where the business  of bookmaker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 carried out–</w:t>
            </w:r>
          </w:p>
          <w:p>
            <w:pPr>
              <w:autoSpaceDN w:val="0"/>
              <w:autoSpaceDE w:val="0"/>
              <w:widowControl/>
              <w:spacing w:line="214" w:lineRule="exact" w:before="16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(i) through an agent</w:t>
            </w:r>
          </w:p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192" w:lineRule="exact" w:before="372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(ii) with the use of live telecast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5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One million rupees</w:t>
            </w:r>
          </w:p>
          <w:p>
            <w:pPr>
              <w:autoSpaceDN w:val="0"/>
              <w:autoSpaceDE w:val="0"/>
              <w:widowControl/>
              <w:spacing w:line="214" w:lineRule="exact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Two hundred and fifty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Betting and Gaming Levy 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98.0" w:type="dxa"/>
      </w:tblPr>
      <w:tblGrid>
        <w:gridCol w:w="4510"/>
        <w:gridCol w:w="4510"/>
      </w:tblGrid>
      <w:tr>
        <w:trPr>
          <w:trHeight w:hRule="exact" w:val="348"/>
        </w:trPr>
        <w:tc>
          <w:tcPr>
            <w:tcW w:type="dxa" w:w="307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2" w:after="0"/>
              <w:ind w:left="0" w:right="1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187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360"/>
        </w:trPr>
        <w:tc>
          <w:tcPr>
            <w:tcW w:type="dxa" w:w="30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Year</w:t>
            </w:r>
          </w:p>
        </w:tc>
        <w:tc>
          <w:tcPr>
            <w:tcW w:type="dxa" w:w="18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Amount of Levy</w:t>
            </w:r>
          </w:p>
        </w:tc>
      </w:tr>
      <w:tr>
        <w:trPr>
          <w:trHeight w:hRule="exact" w:val="610"/>
        </w:trPr>
        <w:tc>
          <w:tcPr>
            <w:tcW w:type="dxa" w:w="30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535"/>
              <w:gridCol w:w="1535"/>
            </w:tblGrid>
            <w:tr>
              <w:trPr>
                <w:trHeight w:hRule="exact" w:val="490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(iii)</w:t>
                  </w: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76" w:after="0"/>
                    <w:ind w:left="7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without the use of live telecast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Twenty-five thousand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</w:t>
            </w:r>
          </w:p>
        </w:tc>
      </w:tr>
      <w:tr>
        <w:trPr>
          <w:trHeight w:hRule="exact" w:val="2510"/>
        </w:trPr>
        <w:tc>
          <w:tcPr>
            <w:tcW w:type="dxa" w:w="30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8" w:after="114"/>
              <w:ind w:left="46" w:right="130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5. For every year commencing 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April 1, 2006  but prior to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2013 where the business  of bookmaker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carried out–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535"/>
              <w:gridCol w:w="1535"/>
            </w:tblGrid>
            <w:tr>
              <w:trPr>
                <w:trHeight w:hRule="exact" w:val="1458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(i)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(ii)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37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(iii)</w:t>
                  </w: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0" w:after="0"/>
                    <w:ind w:left="7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through an agent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with the use of live telecast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facilities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without the use of live telecast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million rupees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Three hundred thousand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14" w:lineRule="exact" w:before="3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Fifty thousand rupees</w:t>
            </w:r>
          </w:p>
        </w:tc>
      </w:tr>
      <w:tr>
        <w:trPr>
          <w:trHeight w:hRule="exact" w:val="2500"/>
        </w:trPr>
        <w:tc>
          <w:tcPr>
            <w:tcW w:type="dxa" w:w="30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0" w:after="0"/>
              <w:ind w:left="46" w:right="130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6. For every year commencing 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April 1, 2013  but prior to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2015 where the business  of bookmaker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carried out–</w:t>
            </w:r>
          </w:p>
          <w:p>
            <w:pPr>
              <w:autoSpaceDN w:val="0"/>
              <w:autoSpaceDE w:val="0"/>
              <w:widowControl/>
              <w:spacing w:line="214" w:lineRule="exact" w:before="172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(i) through an agent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196" w:lineRule="exact" w:before="192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(ii) with the use of live telecast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194" w:lineRule="exact" w:before="19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(iii) without the use of live telecast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</w:t>
            </w:r>
          </w:p>
        </w:tc>
        <w:tc>
          <w:tcPr>
            <w:tcW w:type="dxa" w:w="18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million rupees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Three hundred thousand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rupees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Twenty-five thousand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</w:t>
            </w:r>
          </w:p>
        </w:tc>
      </w:tr>
      <w:tr>
        <w:trPr>
          <w:trHeight w:hRule="exact" w:val="2630"/>
        </w:trPr>
        <w:tc>
          <w:tcPr>
            <w:tcW w:type="dxa" w:w="30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2" w:after="0"/>
              <w:ind w:left="46" w:right="130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7. For every year commencing 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April 1, 2015 but ending prior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April 1, 2023 where the business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bookmaker is carried out –</w:t>
            </w:r>
          </w:p>
          <w:p>
            <w:pPr>
              <w:autoSpaceDN w:val="0"/>
              <w:autoSpaceDE w:val="0"/>
              <w:widowControl/>
              <w:spacing w:line="212" w:lineRule="exact" w:before="176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(i) through an agent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194" w:lineRule="exact" w:before="19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(ii) with the use of live telecast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194" w:lineRule="exact" w:before="19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(iii) without the use of live telecast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facilities.</w:t>
            </w:r>
          </w:p>
        </w:tc>
        <w:tc>
          <w:tcPr>
            <w:tcW w:type="dxa" w:w="187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 million rupees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Six hundred thousand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rupees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Fifty-five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Betting and Gaming Levy 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2.0" w:type="dxa"/>
      </w:tblPr>
      <w:tblGrid>
        <w:gridCol w:w="4510"/>
        <w:gridCol w:w="4510"/>
      </w:tblGrid>
      <w:tr>
        <w:trPr>
          <w:trHeight w:hRule="exact" w:val="376"/>
        </w:trPr>
        <w:tc>
          <w:tcPr>
            <w:tcW w:type="dxa" w:w="3046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78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1884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352"/>
        </w:trPr>
        <w:tc>
          <w:tcPr>
            <w:tcW w:type="dxa" w:w="304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6" w:after="0"/>
              <w:ind w:left="0" w:right="14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Year</w:t>
            </w:r>
          </w:p>
        </w:tc>
        <w:tc>
          <w:tcPr>
            <w:tcW w:type="dxa" w:w="188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Amount of Levy</w:t>
            </w:r>
          </w:p>
        </w:tc>
      </w:tr>
      <w:tr>
        <w:trPr>
          <w:trHeight w:hRule="exact" w:val="2688"/>
        </w:trPr>
        <w:tc>
          <w:tcPr>
            <w:tcW w:type="dxa" w:w="304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44" w:right="22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8. For every year commencing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after April 1, 2023 where the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bookmaker is carried out–</w:t>
            </w:r>
          </w:p>
          <w:p>
            <w:pPr>
              <w:autoSpaceDN w:val="0"/>
              <w:autoSpaceDE w:val="0"/>
              <w:widowControl/>
              <w:spacing w:line="192" w:lineRule="exact" w:before="192" w:after="110"/>
              <w:ind w:left="644" w:right="228" w:hanging="30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(i) through an agent or via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internert with or without the 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live telecast facilities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8.0000000000001" w:type="dxa"/>
            </w:tblPr>
            <w:tblGrid>
              <w:gridCol w:w="1523"/>
              <w:gridCol w:w="1523"/>
            </w:tblGrid>
            <w:tr>
              <w:trPr>
                <w:trHeight w:hRule="exact" w:val="526"/>
              </w:trPr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0" w:after="0"/>
                    <w:ind w:left="0" w:right="46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(ii)</w:t>
                  </w:r>
                </w:p>
              </w:tc>
              <w:tc>
                <w:tcPr>
                  <w:tcW w:type="dxa" w:w="2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82" w:after="0"/>
                    <w:ind w:left="96" w:right="0" w:hanging="12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with the use of live telecast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facilities</w:t>
                  </w:r>
                </w:p>
              </w:tc>
            </w:tr>
          </w:tbl>
          <w:p>
            <w:pPr>
              <w:autoSpaceDN w:val="0"/>
              <w:tabs>
                <w:tab w:pos="644" w:val="left"/>
              </w:tabs>
              <w:autoSpaceDE w:val="0"/>
              <w:widowControl/>
              <w:spacing w:line="192" w:lineRule="exact" w:before="132" w:after="0"/>
              <w:ind w:left="2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(iii) without the use of live telecast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</w:t>
            </w:r>
          </w:p>
        </w:tc>
        <w:tc>
          <w:tcPr>
            <w:tcW w:type="dxa" w:w="188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7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Five million rupees</w:t>
            </w:r>
          </w:p>
          <w:p>
            <w:pPr>
              <w:autoSpaceDN w:val="0"/>
              <w:autoSpaceDE w:val="0"/>
              <w:widowControl/>
              <w:spacing w:line="212" w:lineRule="exact" w:before="55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One million rupees</w:t>
            </w:r>
          </w:p>
          <w:p>
            <w:pPr>
              <w:autoSpaceDN w:val="0"/>
              <w:autoSpaceDE w:val="0"/>
              <w:widowControl/>
              <w:spacing w:line="212" w:lineRule="exact" w:before="3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Seventy-five thousand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214" w:lineRule="exact" w:before="72" w:after="0"/>
        <w:ind w:left="0" w:right="49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ART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II</w:t>
      </w:r>
    </w:p>
    <w:p>
      <w:pPr>
        <w:autoSpaceDN w:val="0"/>
        <w:autoSpaceDE w:val="0"/>
        <w:widowControl/>
        <w:spacing w:line="192" w:lineRule="exact" w:before="192" w:after="104"/>
        <w:ind w:left="146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amount of the levy payable by a person carrying on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business of gaming for every year specified in Column I hereto, shall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equivalent to the amount specified in the corresponding entry in </w:t>
      </w:r>
      <w:r>
        <w:rPr>
          <w:rFonts w:ascii="Times" w:hAnsi="Times" w:eastAsia="Times"/>
          <w:b w:val="0"/>
          <w:i w:val="0"/>
          <w:color w:val="000000"/>
          <w:sz w:val="16"/>
        </w:rPr>
        <w:t>Column II hereto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2.0" w:type="dxa"/>
      </w:tblPr>
      <w:tblGrid>
        <w:gridCol w:w="4510"/>
        <w:gridCol w:w="4510"/>
      </w:tblGrid>
      <w:tr>
        <w:trPr>
          <w:trHeight w:hRule="exact" w:val="400"/>
        </w:trPr>
        <w:tc>
          <w:tcPr>
            <w:tcW w:type="dxa" w:w="304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9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30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4" w:after="0"/>
              <w:ind w:left="0" w:right="12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18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1360"/>
        </w:trPr>
        <w:tc>
          <w:tcPr>
            <w:tcW w:type="dxa" w:w="30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14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Year</w:t>
            </w:r>
          </w:p>
          <w:p>
            <w:pPr>
              <w:autoSpaceDN w:val="0"/>
              <w:autoSpaceDE w:val="0"/>
              <w:widowControl/>
              <w:spacing w:line="192" w:lineRule="exact" w:before="208" w:after="0"/>
              <w:ind w:left="44" w:right="220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1. For every year commencing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after April 1, 1988 but prior to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2001 for carrying on the business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gaming</w:t>
            </w:r>
          </w:p>
        </w:tc>
        <w:tc>
          <w:tcPr>
            <w:tcW w:type="dxa" w:w="18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346" w:lineRule="exact" w:before="0" w:after="0"/>
              <w:ind w:left="130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Amount of Levy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One million rupees</w:t>
            </w:r>
          </w:p>
        </w:tc>
      </w:tr>
      <w:tr>
        <w:trPr>
          <w:trHeight w:hRule="exact" w:val="1020"/>
        </w:trPr>
        <w:tc>
          <w:tcPr>
            <w:tcW w:type="dxa" w:w="30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44" w:right="220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2. For every year commencing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after April 1, 2001 but prior to April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1, 2002 for carrying on the business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gaming</w:t>
            </w:r>
          </w:p>
        </w:tc>
        <w:tc>
          <w:tcPr>
            <w:tcW w:type="dxa" w:w="18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.99999999999977" w:type="dxa"/>
            </w:tblPr>
            <w:tblGrid>
              <w:gridCol w:w="945"/>
              <w:gridCol w:w="945"/>
            </w:tblGrid>
            <w:tr>
              <w:trPr>
                <w:trHeight w:hRule="exact" w:val="494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66" w:after="0"/>
                    <w:ind w:left="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Twenty-five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million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900"/>
        </w:trPr>
        <w:tc>
          <w:tcPr>
            <w:tcW w:type="dxa" w:w="30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4" w:right="220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3. For every year commencing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after April 1, 2002 but prior to April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 2005 for carrying on the business of-</w:t>
            </w:r>
          </w:p>
          <w:p>
            <w:pPr>
              <w:autoSpaceDN w:val="0"/>
              <w:tabs>
                <w:tab w:pos="644" w:val="left"/>
              </w:tabs>
              <w:autoSpaceDE w:val="0"/>
              <w:widowControl/>
              <w:spacing w:line="192" w:lineRule="exact" w:before="192" w:after="0"/>
              <w:ind w:left="3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(i) gaming (other than for playing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rudjino)</w:t>
            </w:r>
          </w:p>
          <w:p>
            <w:pPr>
              <w:autoSpaceDN w:val="0"/>
              <w:autoSpaceDE w:val="0"/>
              <w:widowControl/>
              <w:spacing w:line="212" w:lineRule="exact" w:before="17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(ii) only playing rudjino</w:t>
            </w:r>
          </w:p>
        </w:tc>
        <w:tc>
          <w:tcPr>
            <w:tcW w:type="dxa" w:w="18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Twelve million rupees</w:t>
            </w:r>
          </w:p>
          <w:p>
            <w:pPr>
              <w:autoSpaceDN w:val="0"/>
              <w:autoSpaceDE w:val="0"/>
              <w:widowControl/>
              <w:spacing w:line="212" w:lineRule="exact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Five hundred thousand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560" w:after="0"/>
              <w:ind w:left="6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  <w:tr>
        <w:trPr>
          <w:trHeight w:hRule="exact" w:val="586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272"/>
              <w:ind w:left="0" w:right="24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6.00000000000023" w:type="dxa"/>
            </w:tblPr>
            <w:tblGrid>
              <w:gridCol w:w="2900"/>
              <w:gridCol w:w="2900"/>
            </w:tblGrid>
            <w:tr>
              <w:trPr>
                <w:trHeight w:hRule="exact" w:val="434"/>
              </w:trPr>
              <w:tc>
                <w:tcPr>
                  <w:tcW w:type="dxa" w:w="306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350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Year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Amount of Levy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92" w:after="0"/>
                    <w:ind w:left="56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4.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2005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2013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92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Fifty million rupees</w:t>
                  </w:r>
                </w:p>
              </w:tc>
            </w:tr>
            <w:tr>
              <w:trPr>
                <w:trHeight w:hRule="exact" w:val="996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10" w:after="0"/>
                    <w:ind w:left="56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5.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2013 but prior to April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2015 for carrying on the business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32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One Hundred million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  <w:tr>
              <w:trPr>
                <w:trHeight w:hRule="exact" w:val="984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74" w:after="0"/>
                    <w:ind w:left="56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6.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after April 1, 2015 but ending prior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April 1, 2023 for carrying on the business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96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Two Hundred million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  <w:tr>
              <w:trPr>
                <w:trHeight w:hRule="exact" w:val="754"/>
              </w:trPr>
              <w:tc>
                <w:tcPr>
                  <w:tcW w:type="dxa" w:w="30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50" w:after="0"/>
                    <w:ind w:left="56" w:right="110" w:firstLine="24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7. For every year commencing 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April 1, 2023 for carrying on the business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gaming including playing rudjino.</w:t>
                  </w:r>
                </w:p>
              </w:tc>
              <w:tc>
                <w:tcPr>
                  <w:tcW w:type="dxa" w:w="18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72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Five hundred million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rupees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2" w:lineRule="exact" w:before="0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.”.</w:t>
            </w:r>
          </w:p>
          <w:p>
            <w:pPr>
              <w:autoSpaceDN w:val="0"/>
              <w:tabs>
                <w:tab w:pos="422" w:val="left"/>
                <w:tab w:pos="774" w:val="left"/>
              </w:tabs>
              <w:autoSpaceDE w:val="0"/>
              <w:widowControl/>
              <w:spacing w:line="232" w:lineRule="exact" w:before="284" w:after="0"/>
              <w:ind w:left="182" w:right="72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berween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6.0000000000002" w:type="dxa"/>
      </w:tblPr>
      <w:tblGrid>
        <w:gridCol w:w="4510"/>
        <w:gridCol w:w="4510"/>
      </w:tblGrid>
      <w:tr>
        <w:trPr>
          <w:trHeight w:hRule="exact" w:val="9218"/>
        </w:trPr>
        <w:tc>
          <w:tcPr>
            <w:tcW w:type="dxa" w:w="43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720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Betting and Gaming Levy 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2023</w:t>
            </w:r>
          </w:p>
        </w:tc>
        <w:tc>
          <w:tcPr>
            <w:tcW w:type="dxa" w:w="19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192" w:lineRule="exact" w:before="10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