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4" w:lineRule="exact" w:before="438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336" w:lineRule="exact" w:before="794" w:after="0"/>
        <w:ind w:left="1728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28"/>
        </w:rPr>
        <w:t xml:space="preserve">SRI LANKA INSTITUTE OF TAXATION </w:t>
      </w:r>
      <w:r>
        <w:rPr>
          <w:rFonts w:ascii="Times" w:hAnsi="Times" w:eastAsia="Times"/>
          <w:b/>
          <w:i w:val="0"/>
          <w:color w:val="221F1F"/>
          <w:sz w:val="28"/>
        </w:rPr>
        <w:t xml:space="preserve">(INCORPORATION) (AMENDMENT) </w:t>
      </w:r>
      <w:r>
        <w:rPr>
          <w:rFonts w:ascii="Times" w:hAnsi="Times" w:eastAsia="Times"/>
          <w:b/>
          <w:i w:val="0"/>
          <w:color w:val="221F1F"/>
          <w:sz w:val="28"/>
        </w:rPr>
        <w:t>ACT, No. 13 OF 2023</w:t>
      </w:r>
    </w:p>
    <w:p>
      <w:pPr>
        <w:autoSpaceDN w:val="0"/>
        <w:autoSpaceDE w:val="0"/>
        <w:widowControl/>
        <w:spacing w:line="278" w:lineRule="exact" w:before="770" w:after="0"/>
        <w:ind w:left="0" w:right="303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[Certified on 21st of August, 2023]</w:t>
      </w:r>
    </w:p>
    <w:p>
      <w:pPr>
        <w:autoSpaceDN w:val="0"/>
        <w:autoSpaceDE w:val="0"/>
        <w:widowControl/>
        <w:spacing w:line="244" w:lineRule="exact" w:before="230" w:after="0"/>
        <w:ind w:left="0" w:right="299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0" w:lineRule="exact" w:before="616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Gazette of the Democratic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August 25, 2023</w:t>
      </w:r>
    </w:p>
    <w:p>
      <w:pPr>
        <w:autoSpaceDN w:val="0"/>
        <w:autoSpaceDE w:val="0"/>
        <w:widowControl/>
        <w:spacing w:line="214" w:lineRule="exact" w:before="280" w:after="0"/>
        <w:ind w:left="0" w:right="261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4" w:lineRule="exact" w:before="0" w:after="0"/>
        <w:ind w:left="0" w:right="2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96" w:val="left"/>
        </w:tabs>
        <w:autoSpaceDE w:val="0"/>
        <w:widowControl/>
        <w:spacing w:line="276" w:lineRule="exact" w:before="256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0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4510"/>
        <w:gridCol w:w="4510"/>
      </w:tblGrid>
      <w:tr>
        <w:trPr>
          <w:trHeight w:hRule="exact" w:val="592"/>
        </w:trPr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2" w:after="0"/>
              <w:ind w:left="864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Sri Lanka Institute of Taxation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 (Amendment) Act, No. 13 of 2023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6" w:lineRule="exact" w:before="158" w:after="0"/>
        <w:ind w:left="0" w:right="37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21st of August, 2023]</w:t>
      </w:r>
    </w:p>
    <w:p>
      <w:pPr>
        <w:autoSpaceDN w:val="0"/>
        <w:autoSpaceDE w:val="0"/>
        <w:widowControl/>
        <w:spacing w:line="266" w:lineRule="exact" w:before="178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L.D.–O. (Inc.)–21/2022</w:t>
      </w:r>
    </w:p>
    <w:p>
      <w:pPr>
        <w:autoSpaceDN w:val="0"/>
        <w:autoSpaceDE w:val="0"/>
        <w:widowControl/>
        <w:spacing w:line="228" w:lineRule="exact" w:before="224" w:after="350"/>
        <w:ind w:left="1728" w:right="302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NSTITUTE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AXATION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(I</w:t>
      </w:r>
      <w:r>
        <w:rPr>
          <w:rFonts w:ascii="Times" w:hAnsi="Times" w:eastAsia="Times"/>
          <w:b w:val="0"/>
          <w:i w:val="0"/>
          <w:color w:val="221F1F"/>
          <w:sz w:val="14"/>
        </w:rPr>
        <w:t>NCORPORATION</w:t>
      </w:r>
      <w:r>
        <w:rPr>
          <w:rFonts w:ascii="Times" w:hAnsi="Times" w:eastAsia="Times"/>
          <w:b w:val="0"/>
          <w:i w:val="0"/>
          <w:color w:val="221F1F"/>
          <w:sz w:val="20"/>
        </w:rPr>
        <w:t>)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21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2000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3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0" w:after="0"/>
              <w:ind w:left="73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WHEREAS the Sri Lanka Institute of Taxation was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incorporated by the Sri Lanka Institute of Taxation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(Incorporation) Act, No. 21 of 2000: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Preamble</w:t>
            </w:r>
          </w:p>
        </w:tc>
      </w:tr>
    </w:tbl>
    <w:p>
      <w:pPr>
        <w:autoSpaceDN w:val="0"/>
        <w:autoSpaceDE w:val="0"/>
        <w:widowControl/>
        <w:spacing w:line="226" w:lineRule="exact" w:before="168" w:after="0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Sri Lanka Institute of Taxation wishes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change its name and that certain amendments be made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aforesaid Act for the purpose of more effectually carrying </w:t>
      </w:r>
      <w:r>
        <w:rPr>
          <w:rFonts w:ascii="Times" w:hAnsi="Times" w:eastAsia="Times"/>
          <w:b w:val="0"/>
          <w:i w:val="0"/>
          <w:color w:val="221F1F"/>
          <w:sz w:val="20"/>
        </w:rPr>
        <w:t>out the objects of the said Corporation:</w:t>
      </w:r>
    </w:p>
    <w:p>
      <w:pPr>
        <w:autoSpaceDN w:val="0"/>
        <w:autoSpaceDE w:val="0"/>
        <w:widowControl/>
        <w:spacing w:line="224" w:lineRule="exact" w:before="228" w:after="0"/>
        <w:ind w:left="1438" w:right="2784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Sri Lanka Institute of Taxation has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applied that amendments be made to the aforesaid Act and it </w:t>
      </w:r>
      <w:r>
        <w:rPr>
          <w:rFonts w:ascii="Times" w:hAnsi="Times" w:eastAsia="Times"/>
          <w:b w:val="0"/>
          <w:i w:val="0"/>
          <w:color w:val="221F1F"/>
          <w:sz w:val="20"/>
        </w:rPr>
        <w:t>will be for the public advantage to grant the said application:</w:t>
      </w:r>
    </w:p>
    <w:p>
      <w:pPr>
        <w:autoSpaceDN w:val="0"/>
        <w:autoSpaceDE w:val="0"/>
        <w:widowControl/>
        <w:spacing w:line="226" w:lineRule="exact" w:before="226" w:after="126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35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  <w:tab w:pos="1328" w:val="left"/>
              </w:tabs>
              <w:autoSpaceDE w:val="0"/>
              <w:widowControl/>
              <w:spacing w:line="214" w:lineRule="exact" w:before="124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This Act may be cited as the Sri Lanka Institute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Taxation (Incorporation) (Amendment) Act, No. 13 of 2023.</w:t>
            </w:r>
          </w:p>
          <w:p>
            <w:pPr>
              <w:autoSpaceDN w:val="0"/>
              <w:tabs>
                <w:tab w:pos="978" w:val="left"/>
                <w:tab w:pos="1322" w:val="left"/>
              </w:tabs>
              <w:autoSpaceDE w:val="0"/>
              <w:widowControl/>
              <w:spacing w:line="224" w:lineRule="exact" w:before="240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every context in which the Sri Lanka Institute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Taxation is mentioned in the Sri Lanka Institute of Taxation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(Incorporation) Act, No. 21 of 2000 (hereinafter referred to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“principal enactment”) or in any rule, notice or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document made or issued thereunder, there shall, unless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context otherwise requires, be substituted for the words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“Sri Lanka Institute of Taxation”  of the words “Chartered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 of Taxation of Sri Lanka”.</w:t>
            </w:r>
          </w:p>
          <w:p>
            <w:pPr>
              <w:autoSpaceDN w:val="0"/>
              <w:tabs>
                <w:tab w:pos="978" w:val="left"/>
                <w:tab w:pos="1340" w:val="left"/>
              </w:tabs>
              <w:autoSpaceDE w:val="0"/>
              <w:widowControl/>
              <w:spacing w:line="216" w:lineRule="exact" w:before="246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4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follows:–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8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  <w:p>
            <w:pPr>
              <w:autoSpaceDN w:val="0"/>
              <w:autoSpaceDE w:val="0"/>
              <w:widowControl/>
              <w:spacing w:line="170" w:lineRule="exact" w:before="498" w:after="0"/>
              <w:ind w:left="13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the Act,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No. 21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2000</w:t>
            </w:r>
          </w:p>
          <w:p>
            <w:pPr>
              <w:autoSpaceDN w:val="0"/>
              <w:autoSpaceDE w:val="0"/>
              <w:widowControl/>
              <w:spacing w:line="192" w:lineRule="exact" w:before="1152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4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0" w:right="8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section of the following paragraph:-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75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6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5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 Institute of Taxation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58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70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 (Amendment) Act, No. 13 of 2023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1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1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formulate a welfare scheme for the</w:t>
            </w:r>
          </w:p>
        </w:tc>
      </w:tr>
      <w:tr>
        <w:trPr>
          <w:trHeight w:hRule="exact" w:val="860"/>
        </w:trPr>
        <w:tc>
          <w:tcPr>
            <w:tcW w:type="dxa" w:w="2255"/>
            <w:vMerge/>
            <w:tcBorders/>
          </w:tcPr>
          <w:p/>
        </w:tc>
        <w:tc>
          <w:tcPr>
            <w:tcW w:type="dxa" w:w="58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174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benefit of the members of the Corporation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accordance with the rules made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8 of the Act;”; and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section and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8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therefor of the following paragraph:-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1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appoint, employ, dismiss or terminate</w:t>
            </w:r>
          </w:p>
        </w:tc>
      </w:tr>
      <w:tr>
        <w:trPr>
          <w:trHeight w:hRule="exact" w:val="3488"/>
        </w:trPr>
        <w:tc>
          <w:tcPr>
            <w:tcW w:type="dxa" w:w="2255"/>
            <w:vMerge/>
            <w:tcBorders/>
          </w:tcPr>
          <w:p/>
        </w:tc>
        <w:tc>
          <w:tcPr>
            <w:tcW w:type="dxa" w:w="58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174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services of officers and servants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Corporation and exercise disciplinary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control over them and to pay them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salaries, allowances and gratuities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accordance with the rules made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8 of the Act;”.</w:t>
            </w:r>
          </w:p>
          <w:p>
            <w:pPr>
              <w:autoSpaceDN w:val="0"/>
              <w:tabs>
                <w:tab w:pos="542" w:val="left"/>
                <w:tab w:pos="902" w:val="left"/>
              </w:tabs>
              <w:autoSpaceDE w:val="0"/>
              <w:widowControl/>
              <w:spacing w:line="234" w:lineRule="exact" w:before="264" w:after="0"/>
              <w:ind w:left="30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6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follows:–</w:t>
            </w:r>
          </w:p>
          <w:p>
            <w:pPr>
              <w:autoSpaceDN w:val="0"/>
              <w:autoSpaceDE w:val="0"/>
              <w:widowControl/>
              <w:spacing w:line="244" w:lineRule="exact" w:before="244" w:after="0"/>
              <w:ind w:left="922" w:right="716" w:hanging="356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that section, by the substitution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the words “other publication acceptable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Council;” of the words “other publication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acceptable to the Council; or”; and</w:t>
            </w:r>
          </w:p>
        </w:tc>
      </w:tr>
    </w:tbl>
    <w:p>
      <w:pPr>
        <w:autoSpaceDN w:val="0"/>
        <w:tabs>
          <w:tab w:pos="3402" w:val="left"/>
        </w:tabs>
        <w:autoSpaceDE w:val="0"/>
        <w:widowControl/>
        <w:spacing w:line="244" w:lineRule="exact" w:before="184" w:after="162"/>
        <w:ind w:left="3046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by the addition immediately after paragraph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section of the following new paragraph:-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898"/>
        </w:trPr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4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8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2" w:after="0"/>
              <w:ind w:left="1502" w:right="716" w:hanging="428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 person who possesses any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qualification in the field of finance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taxation as may be specified by the rules made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section 8 of the Act.”.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  <w:p>
            <w:pPr>
              <w:autoSpaceDN w:val="0"/>
              <w:tabs>
                <w:tab w:pos="542" w:val="left"/>
                <w:tab w:pos="906" w:val="left"/>
              </w:tabs>
              <w:autoSpaceDE w:val="0"/>
              <w:widowControl/>
              <w:spacing w:line="234" w:lineRule="exact" w:before="44" w:after="0"/>
              <w:ind w:left="30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8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(1) of that section as follows:–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</w:t>
            </w:r>
          </w:p>
        </w:tc>
      </w:tr>
      <w:tr>
        <w:trPr>
          <w:trHeight w:hRule="exact" w:val="490"/>
        </w:trPr>
        <w:tc>
          <w:tcPr>
            <w:tcW w:type="dxa" w:w="3007"/>
            <w:vMerge/>
            <w:tcBorders/>
          </w:tcPr>
          <w:p/>
        </w:tc>
        <w:tc>
          <w:tcPr>
            <w:tcW w:type="dxa" w:w="5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0" w:after="0"/>
              <w:ind w:left="102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the substitution therefor of the following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paragraph:-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48"/>
        </w:trPr>
        <w:tc>
          <w:tcPr>
            <w:tcW w:type="dxa" w:w="49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0" w:right="51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 Institute of Taxation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908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9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60"/>
        </w:trPr>
        <w:tc>
          <w:tcPr>
            <w:tcW w:type="dxa" w:w="56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113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 (Amendment) Act, No. 13 of 2023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classification of membership,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840"/>
        </w:trPr>
        <w:tc>
          <w:tcPr>
            <w:tcW w:type="dxa" w:w="56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2" w:after="0"/>
              <w:ind w:left="217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admission, withdrawal, expulsion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resignation of members and fees, payable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each class of members or for qualifying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examinations or approved courses of study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any other services provided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Corporation, under the provisions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Act;”;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2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 by the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860"/>
        </w:trPr>
        <w:tc>
          <w:tcPr>
            <w:tcW w:type="dxa" w:w="56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0" w:after="0"/>
              <w:ind w:left="145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substitution for the word “appointment,”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words “the terms and conditions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appointment,”; and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42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56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5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subsection of the following paragraph:-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qualifications and disqualifications to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588"/>
        </w:trPr>
        <w:tc>
          <w:tcPr>
            <w:tcW w:type="dxa" w:w="56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2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a member of the Council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Corporation;”.</w:t>
            </w:r>
          </w:p>
          <w:p>
            <w:pPr>
              <w:autoSpaceDN w:val="0"/>
              <w:autoSpaceDE w:val="0"/>
              <w:widowControl/>
              <w:spacing w:line="240" w:lineRule="exact" w:before="264" w:after="0"/>
              <w:ind w:left="738" w:right="104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9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repealed and the following section is substituted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therefor:–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2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86" w:after="0"/>
              <w:ind w:left="77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“Use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letters or titles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after name</w:t>
            </w:r>
          </w:p>
        </w:tc>
        <w:tc>
          <w:tcPr>
            <w:tcW w:type="dxa" w:w="3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9. Where any member of the Corporation is-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3006"/>
            <w:gridSpan w:val="2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fellow member, he shall be entitled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606"/>
        </w:trPr>
        <w:tc>
          <w:tcPr>
            <w:tcW w:type="dxa" w:w="56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26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use after his name, the letters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FCIT;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2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associate member, he shall be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604"/>
        </w:trPr>
        <w:tc>
          <w:tcPr>
            <w:tcW w:type="dxa" w:w="56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26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entitled to use after his name,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letters ACIT;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honorary fellow member, he shall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484"/>
        </w:trPr>
        <w:tc>
          <w:tcPr>
            <w:tcW w:type="dxa" w:w="56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26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entitled to use after his name,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title Honorary FCIT; or</w:t>
            </w:r>
          </w:p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76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10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192" w:lineRule="exact" w:before="420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new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170" w:lineRule="exact" w:before="4208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Saving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contracts etc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 Institute of Taxation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 (Amendment) Act, No. 13 of 2023</w:t>
            </w:r>
          </w:p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2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honorary associate member, he</w:t>
            </w:r>
          </w:p>
        </w:tc>
      </w:tr>
      <w:tr>
        <w:trPr>
          <w:trHeight w:hRule="exact" w:val="2928"/>
        </w:trPr>
        <w:tc>
          <w:tcPr>
            <w:tcW w:type="dxa" w:w="2255"/>
            <w:vMerge/>
            <w:tcBorders/>
          </w:tcPr>
          <w:p/>
        </w:tc>
        <w:tc>
          <w:tcPr>
            <w:tcW w:type="dxa" w:w="58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34" w:after="0"/>
              <w:ind w:left="22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entitled to use after his name,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title Honorary ACIT.”.</w:t>
            </w:r>
          </w:p>
          <w:p>
            <w:pPr>
              <w:autoSpaceDN w:val="0"/>
              <w:tabs>
                <w:tab w:pos="522" w:val="left"/>
                <w:tab w:pos="882" w:val="left"/>
              </w:tabs>
              <w:autoSpaceDE w:val="0"/>
              <w:widowControl/>
              <w:spacing w:line="232" w:lineRule="exact" w:before="246" w:after="0"/>
              <w:ind w:left="28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10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substitution for the words “use titles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letters after his name FTII (Sri Lanka) or Honorary ATII (Sri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Lanka)” of the words “use titles or letters after his name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FCIT, ACIT, Honorary FCIT or Honorary ACIT”.</w:t>
            </w:r>
          </w:p>
          <w:p>
            <w:pPr>
              <w:autoSpaceDN w:val="0"/>
              <w:autoSpaceDE w:val="0"/>
              <w:widowControl/>
              <w:spacing w:line="228" w:lineRule="exact" w:before="252" w:after="0"/>
              <w:ind w:left="28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section is hereby inserted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after section 13 and shall have effect as 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enactment:-</w:t>
            </w:r>
          </w:p>
        </w:tc>
      </w:tr>
      <w:tr>
        <w:trPr>
          <w:trHeight w:hRule="exact" w:val="2140"/>
        </w:trPr>
        <w:tc>
          <w:tcPr>
            <w:tcW w:type="dxa" w:w="2255"/>
            <w:vMerge/>
            <w:tcBorders/>
          </w:tcPr>
          <w:p/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8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“Members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Council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officers,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servants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Corporation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liable for acts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done in good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faith</w:t>
            </w:r>
          </w:p>
        </w:tc>
        <w:tc>
          <w:tcPr>
            <w:tcW w:type="dxa" w:w="4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8" w:after="0"/>
              <w:ind w:left="64" w:right="716" w:firstLine="23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The members of the Council, officers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servants of the Corporation shall not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liable for any act done or purported to be done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any omission made in good faith during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exercise, performance or discharge of their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powers, duties or functions under this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that such immunity shall not extend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to-</w:t>
            </w:r>
          </w:p>
        </w:tc>
      </w:tr>
      <w:tr>
        <w:trPr>
          <w:trHeight w:hRule="exact" w:val="900"/>
        </w:trPr>
        <w:tc>
          <w:tcPr>
            <w:tcW w:type="dxa" w:w="2255"/>
            <w:vMerge/>
            <w:tcBorders/>
          </w:tcPr>
          <w:p/>
        </w:tc>
        <w:tc>
          <w:tcPr>
            <w:tcW w:type="dxa" w:w="2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04" w:after="0"/>
              <w:ind w:left="82" w:right="716" w:firstLine="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liability for a criminal  offence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written law for the time beign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force;</w:t>
            </w:r>
          </w:p>
        </w:tc>
      </w:tr>
      <w:tr>
        <w:trPr>
          <w:trHeight w:hRule="exact" w:val="1160"/>
        </w:trPr>
        <w:tc>
          <w:tcPr>
            <w:tcW w:type="dxa" w:w="2255"/>
            <w:vMerge/>
            <w:tcBorders/>
          </w:tcPr>
          <w:p/>
        </w:tc>
        <w:tc>
          <w:tcPr>
            <w:tcW w:type="dxa" w:w="2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0" w:after="0"/>
              <w:ind w:left="8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act done in contravention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provisions of this Act, or any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applicable written law, or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regulation made thereunder.”.</w:t>
            </w:r>
          </w:p>
        </w:tc>
      </w:tr>
      <w:tr>
        <w:trPr>
          <w:trHeight w:hRule="exact" w:val="2002"/>
        </w:trPr>
        <w:tc>
          <w:tcPr>
            <w:tcW w:type="dxa" w:w="2255"/>
            <w:vMerge/>
            <w:tcBorders/>
          </w:tcPr>
          <w:p/>
        </w:tc>
        <w:tc>
          <w:tcPr>
            <w:tcW w:type="dxa" w:w="58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64" w:after="0"/>
              <w:ind w:left="28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Every contract, agreement or other instrument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document whatsoever made, issued or executed prior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date of commencement of this Act, and subsisting on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date by or in favour of the Sri Lanka Institute of Taxation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deemed, from and after the date of commencement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this Act, to be and to have been made, issued or executed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or in, favour of the Chartered Institute of Taxation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864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Sri Lanka Institute of Taxation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 (Amendment) Act, No. 13 of 2023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34" w:lineRule="exact" w:before="184" w:after="168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All suits, actions, appeals and other legal proceedings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instituted by or against the Sri Lanka Institute of Taxation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pending on the day immediately prior to the date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Act, shall not abate or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discontinued, and may be continued or enforced by or against </w:t>
      </w:r>
      <w:r>
        <w:rPr>
          <w:rFonts w:ascii="Times" w:hAnsi="Times" w:eastAsia="Times"/>
          <w:b w:val="0"/>
          <w:i w:val="0"/>
          <w:color w:val="221F1F"/>
          <w:sz w:val="20"/>
        </w:rPr>
        <w:t>the Chartered Institute of Taxation of Sri 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8" w:after="0"/>
              <w:ind w:left="138" w:right="68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inconsistency</w:t>
            </w:r>
          </w:p>
        </w:tc>
      </w:tr>
      <w:tr>
        <w:trPr>
          <w:trHeight w:hRule="exact" w:val="54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2"/>
        <w:ind w:left="0" w:right="0"/>
      </w:pPr>
    </w:p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600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5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44" w:right="86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Sri Lanka Institute of Taxation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 (Amendment) Act, No. 13 of 2023</w:t>
            </w:r>
          </w:p>
        </w:tc>
      </w:tr>
    </w:tbl>
    <w:p>
      <w:pPr>
        <w:autoSpaceDN w:val="0"/>
        <w:autoSpaceDE w:val="0"/>
        <w:widowControl/>
        <w:spacing w:line="212" w:lineRule="exact" w:before="87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