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98" w:after="0"/>
        <w:ind w:left="17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AYURVEDA (AMENDMENT</w:t>
      </w:r>
      <w:r>
        <w:rPr>
          <w:rFonts w:ascii="Times,Bold" w:hAnsi="Times,Bold" w:eastAsia="Times,Bold"/>
          <w:b/>
          <w:i w:val="0"/>
          <w:color w:val="221F1F"/>
          <w:sz w:val="23"/>
        </w:rPr>
        <w:t xml:space="preserve">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19 OF 2023</w:t>
      </w:r>
    </w:p>
    <w:p>
      <w:pPr>
        <w:autoSpaceDN w:val="0"/>
        <w:autoSpaceDE w:val="0"/>
        <w:widowControl/>
        <w:spacing w:line="235" w:lineRule="auto" w:before="1180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09th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13,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33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0" w:right="3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09th of October, 2023]</w:t>
      </w:r>
    </w:p>
    <w:p>
      <w:pPr>
        <w:autoSpaceDN w:val="0"/>
        <w:autoSpaceDE w:val="0"/>
        <w:widowControl/>
        <w:spacing w:line="238" w:lineRule="auto" w:before="216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39/2022</w:t>
      </w:r>
    </w:p>
    <w:p>
      <w:pPr>
        <w:autoSpaceDN w:val="0"/>
        <w:autoSpaceDE w:val="0"/>
        <w:widowControl/>
        <w:spacing w:line="238" w:lineRule="auto" w:before="216" w:after="0"/>
        <w:ind w:left="16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YURVEDA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1961</w:t>
      </w:r>
    </w:p>
    <w:p>
      <w:pPr>
        <w:autoSpaceDN w:val="0"/>
        <w:autoSpaceDE w:val="0"/>
        <w:widowControl/>
        <w:spacing w:line="247" w:lineRule="auto" w:before="138" w:after="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72" w:val="left"/>
          <w:tab w:pos="6478" w:val="left"/>
        </w:tabs>
        <w:autoSpaceDE w:val="0"/>
        <w:widowControl/>
        <w:spacing w:line="247" w:lineRule="auto" w:before="134" w:after="198"/>
        <w:ind w:left="143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Ayurveda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19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2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Ayurveda Act, No. 31 of 1961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commencing from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Long Title to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31 of 1961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32" w:right="278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“FOR THE REGISTRATION OF AYURVEDA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HOSPITALS” to the words “DISPENSARIES ATTACHED </w:t>
      </w:r>
      <w:r>
        <w:rPr>
          <w:rFonts w:ascii="Times" w:hAnsi="Times" w:eastAsia="Times"/>
          <w:b w:val="0"/>
          <w:i w:val="0"/>
          <w:color w:val="221F1F"/>
          <w:sz w:val="20"/>
        </w:rPr>
        <w:t>THERETO;” of the following: -</w:t>
      </w:r>
    </w:p>
    <w:p>
      <w:pPr>
        <w:autoSpaceDN w:val="0"/>
        <w:autoSpaceDE w:val="0"/>
        <w:widowControl/>
        <w:spacing w:line="235" w:lineRule="auto" w:before="144" w:after="22"/>
        <w:ind w:left="16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18"/>
        </w:rPr>
        <w:t>FOR THE REGISTRATION OF AYURVEDA HOSPITALS,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PHARMACIES,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</w:t>
            </w:r>
          </w:p>
        </w:tc>
      </w:tr>
    </w:tbl>
    <w:p>
      <w:pPr>
        <w:autoSpaceDN w:val="0"/>
        <w:autoSpaceDE w:val="0"/>
        <w:widowControl/>
        <w:spacing w:line="264" w:lineRule="auto" w:before="24" w:after="24"/>
        <w:ind w:left="16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DISPENSARIES, AYURVEDA STORES, HERBAL </w:t>
      </w:r>
      <w:r>
        <w:rPr>
          <w:rFonts w:ascii="Times" w:hAnsi="Times" w:eastAsia="Times"/>
          <w:b w:val="0"/>
          <w:i w:val="0"/>
          <w:color w:val="221F1F"/>
          <w:sz w:val="18"/>
        </w:rPr>
        <w:t>CULTIVATIONS AND HERBAL GARDENS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RESEARCH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AND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EXTENTION;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FOR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88" w:lineRule="auto" w:before="24" w:after="0"/>
        <w:ind w:left="1672" w:right="278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ESTABLISHMENT OF AN AYURVEDA MEDICAL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COUNCIL TO REGISTER AYURVEDA PRACTITIONERS,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AYURVEDA PHARMACISTS, AYURVEDA NURSES AND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AYURVEDA MASSAGE  THERAPISTS AND TO DEAL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WITH MATTERS RELATING TO THEIR PROFESSIONAL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CONDUCT; FOR THE ESTABLISHMENT OF AN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AYURVEDA EDUCATION AND HOSPITAL BOARD TO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DISCHARGE CERTAIN FUNCTIONS IN RELATION TO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THE AWARD OF DIPLOMAS, CERTIFICATES, DEGREES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AND POSTGRATUATE DEGREES IN RELATION TO THE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EDUCATION AND TRAINING IN AYURVEDA AND TO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DEAL WITH MATTERS RELATING TO THE AYURVEDA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NATIONAL HOSPITAL, AYURVEDA TEACHING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HOSPITALS, AYURVEDA RESEARCH HOSPITALS AND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THE PHARMACIES, HERBARIA AND DISPENSARIES </w:t>
      </w:r>
      <w:r>
        <w:rPr>
          <w:rFonts w:ascii="Times" w:hAnsi="Times" w:eastAsia="Times"/>
          <w:b w:val="0"/>
          <w:i w:val="0"/>
          <w:color w:val="221F1F"/>
          <w:sz w:val="18"/>
        </w:rPr>
        <w:t>ATTACHED THERETO;”.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0" w:after="0"/>
              <w:ind w:left="63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73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380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principal enactment and in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there shall be substituted for the words the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800" w:right="1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for Ayurveda”, “Ayurvedic Medical </w:t>
      </w:r>
      <w:r>
        <w:rPr>
          <w:rFonts w:ascii="Times" w:hAnsi="Times" w:eastAsia="Times"/>
          <w:b w:val="0"/>
          <w:i w:val="0"/>
          <w:color w:val="221F1F"/>
          <w:sz w:val="20"/>
        </w:rPr>
        <w:t>Council”,  “ayurvedic hospitals”, “ayurvedic pharmacy”,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pharmacies”, “ayurvedic dispensary”, “ayurvedic </w:t>
      </w:r>
      <w:r>
        <w:rPr>
          <w:rFonts w:ascii="Times" w:hAnsi="Times" w:eastAsia="Times"/>
          <w:b w:val="0"/>
          <w:i w:val="0"/>
          <w:color w:val="221F1F"/>
          <w:sz w:val="20"/>
        </w:rPr>
        <w:t>dispensaries”, “ayurvedic store” , “ayurvedic stores”,</w:t>
      </w:r>
      <w:r>
        <w:rPr>
          <w:rFonts w:ascii="Times" w:hAnsi="Times" w:eastAsia="Times"/>
          <w:b w:val="0"/>
          <w:i w:val="0"/>
          <w:color w:val="221F1F"/>
          <w:sz w:val="20"/>
        </w:rPr>
        <w:t>“ayurvedic practitioners”, “ayurvedic pharmacists”,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nurses”, “the Central Hospital of Ayurveda” and </w:t>
      </w:r>
      <w:r>
        <w:rPr>
          <w:rFonts w:ascii="Times" w:hAnsi="Times" w:eastAsia="Times"/>
          <w:b w:val="0"/>
          <w:i w:val="0"/>
          <w:color w:val="221F1F"/>
          <w:sz w:val="20"/>
        </w:rPr>
        <w:t>the “Ayurvedic Research Committee”,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for Ayurveda”, “Ayurveda Medical </w:t>
      </w:r>
      <w:r>
        <w:rPr>
          <w:rFonts w:ascii="Times" w:hAnsi="Times" w:eastAsia="Times"/>
          <w:b w:val="0"/>
          <w:i w:val="0"/>
          <w:color w:val="221F1F"/>
          <w:sz w:val="20"/>
        </w:rPr>
        <w:t>Council”,   “Ayurveda hospitals”, “Ayurveda pharmacy”,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pharmacies”, “Ayurveda dispensary”, “Ayurveda </w:t>
      </w:r>
      <w:r>
        <w:rPr>
          <w:rFonts w:ascii="Times" w:hAnsi="Times" w:eastAsia="Times"/>
          <w:b w:val="0"/>
          <w:i w:val="0"/>
          <w:color w:val="221F1F"/>
          <w:sz w:val="20"/>
        </w:rPr>
        <w:t>dispensaries”, “Ayurveda store” , “Ayurveda stores”,</w:t>
      </w:r>
      <w:r>
        <w:rPr>
          <w:rFonts w:ascii="Times" w:hAnsi="Times" w:eastAsia="Times"/>
          <w:b w:val="0"/>
          <w:i w:val="0"/>
          <w:color w:val="221F1F"/>
          <w:sz w:val="20"/>
        </w:rPr>
        <w:t>“Ayurveda practitioners”, “Ayurveda pharmacists”,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nurses”, “the Ayurveda National Hospital” and </w:t>
      </w:r>
      <w:r>
        <w:rPr>
          <w:rFonts w:ascii="Times" w:hAnsi="Times" w:eastAsia="Times"/>
          <w:b w:val="0"/>
          <w:i w:val="0"/>
          <w:color w:val="221F1F"/>
          <w:sz w:val="20"/>
        </w:rPr>
        <w:t>the “Ayurveda Research Committee”, respectively.</w:t>
      </w:r>
    </w:p>
    <w:p>
      <w:pPr>
        <w:autoSpaceDN w:val="0"/>
        <w:autoSpaceDE w:val="0"/>
        <w:widowControl/>
        <w:spacing w:line="252" w:lineRule="auto" w:before="214" w:after="0"/>
        <w:ind w:left="2800" w:right="142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reference to the “Commissioner for Ayurveda”,</w:t>
      </w:r>
      <w:r>
        <w:rPr>
          <w:rFonts w:ascii="Times" w:hAnsi="Times" w:eastAsia="Times"/>
          <w:b w:val="0"/>
          <w:i w:val="0"/>
          <w:color w:val="221F1F"/>
          <w:sz w:val="20"/>
        </w:rPr>
        <w:t>“Ayurvedic Medical Council”,  “ayurvedic hospitals”,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pharmacy”, “ayurvedic pharmacies”, “ayurvedic </w:t>
      </w:r>
      <w:r>
        <w:rPr>
          <w:rFonts w:ascii="Times" w:hAnsi="Times" w:eastAsia="Times"/>
          <w:b w:val="0"/>
          <w:i w:val="0"/>
          <w:color w:val="221F1F"/>
          <w:sz w:val="20"/>
        </w:rPr>
        <w:t>dispensary”, “ayurvedic dispensaries”, “ayurvedic store” 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stores”, “ayurvedic practitioners”, “ayurvedic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pharmacists”, “ayurvedic nurses”, “the Central Hospital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Ayurveda” and the “Ayurvedic Research Committee” 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in any notice, notification or other document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read and construed as a reference to the “Commissioner-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for Ayurveda”, “Ayurveda Medical Council”,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hospitals”, “Ayurveda pharmacy”, “Ayurveda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pharmacies”, “Ayurveda dispensary”, “Ayurveda </w:t>
      </w:r>
      <w:r>
        <w:rPr>
          <w:rFonts w:ascii="Times" w:hAnsi="Times" w:eastAsia="Times"/>
          <w:b w:val="0"/>
          <w:i w:val="0"/>
          <w:color w:val="221F1F"/>
          <w:sz w:val="20"/>
        </w:rPr>
        <w:t>dispensaries”, “Ayurveda store” , “Ayurveda stores”,</w:t>
      </w:r>
      <w:r>
        <w:rPr>
          <w:rFonts w:ascii="Times" w:hAnsi="Times" w:eastAsia="Times"/>
          <w:b w:val="0"/>
          <w:i w:val="0"/>
          <w:color w:val="221F1F"/>
          <w:sz w:val="20"/>
        </w:rPr>
        <w:t>“Ayurveda practitioners”, “Ayurveda pharmacists”,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nurses”, “the Ayurveda National Hospital” and </w:t>
      </w:r>
      <w:r>
        <w:rPr>
          <w:rFonts w:ascii="Times" w:hAnsi="Times" w:eastAsia="Times"/>
          <w:b w:val="0"/>
          <w:i w:val="0"/>
          <w:color w:val="221F1F"/>
          <w:sz w:val="20"/>
        </w:rPr>
        <w:t>the “Ayurveda Research Committee”, respectively.</w:t>
      </w:r>
    </w:p>
    <w:p>
      <w:pPr>
        <w:autoSpaceDN w:val="0"/>
        <w:autoSpaceDE w:val="0"/>
        <w:widowControl/>
        <w:spacing w:line="250" w:lineRule="auto" w:before="214" w:after="0"/>
        <w:ind w:left="2800" w:right="142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the “Commissioner” in sections 3,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4, 6,8, 9,10, 11, 13, 15, 22, 23, 24, 26, 33, 34, 35, 37, and 75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principal enactment shall be read and construed as a </w:t>
      </w:r>
      <w:r>
        <w:rPr>
          <w:rFonts w:ascii="Times" w:hAnsi="Times" w:eastAsia="Times"/>
          <w:b w:val="0"/>
          <w:i w:val="0"/>
          <w:color w:val="221F1F"/>
          <w:sz w:val="20"/>
        </w:rPr>
        <w:t>reference to “the Commissioner-General of Ayurveda”.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46" w:val="left"/>
        </w:tabs>
        <w:autoSpaceDE w:val="0"/>
        <w:widowControl/>
        <w:spacing w:line="228" w:lineRule="exact" w:before="0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6" w:lineRule="auto" w:before="500" w:after="172"/>
        <w:ind w:left="1446" w:right="277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reference to the “Council” in sections 11 to 21,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42, 50 to 63, 71 and 81 in the principal enactment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read and construed as a reference to “the Ayurveda Medical </w:t>
      </w:r>
      <w:r>
        <w:rPr>
          <w:rFonts w:ascii="Times" w:hAnsi="Times" w:eastAsia="Times"/>
          <w:b w:val="0"/>
          <w:i w:val="0"/>
          <w:color w:val="221F1F"/>
          <w:sz w:val="20"/>
        </w:rPr>
        <w:t>Council”.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26" w:right="11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3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 words,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“Deputy Commissioners for Ayurveda,” of the words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76"/>
        <w:ind w:left="1446" w:right="277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“Additional Commissioner-Generals for Ayurveda,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for Ayurveda, Deputy Commissioners for </w:t>
      </w:r>
      <w:r>
        <w:rPr>
          <w:rFonts w:ascii="Times" w:hAnsi="Times" w:eastAsia="Times"/>
          <w:b w:val="0"/>
          <w:i w:val="0"/>
          <w:color w:val="221F1F"/>
          <w:sz w:val="20"/>
        </w:rPr>
        <w:t>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26" w:right="11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4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words, “Deputy 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176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Generals for Ayurveda, Commissioners for Ayurveda, </w:t>
      </w: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26" w:right="11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words, “Deputy 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Generals for Ayurveda, Commissioners for Ayurveda, </w:t>
      </w: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36" w:after="36"/>
        <w:ind w:left="16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Section 7 of the principal enactment is hereby repealed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Replacement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172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following section is substituted therefor:-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7. The objects of the Act shall be -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16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 of-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42"/>
        <w:ind w:left="520" w:right="11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7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0"/>
        <w:ind w:left="3506" w:right="277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establishments and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treatment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diseases; and</w:t>
      </w:r>
    </w:p>
    <w:p>
      <w:pPr>
        <w:autoSpaceDN w:val="0"/>
        <w:autoSpaceDE w:val="0"/>
        <w:widowControl/>
        <w:spacing w:line="238" w:lineRule="auto" w:before="234" w:after="0"/>
        <w:ind w:left="0" w:right="3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the primary health care,</w:t>
      </w:r>
    </w:p>
    <w:p>
      <w:pPr>
        <w:autoSpaceDN w:val="0"/>
        <w:autoSpaceDE w:val="0"/>
        <w:widowControl/>
        <w:spacing w:line="238" w:lineRule="auto" w:before="240" w:after="0"/>
        <w:ind w:left="0" w:right="41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according to ayurveda;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80" w:val="left"/>
        </w:tabs>
        <w:autoSpaceDE w:val="0"/>
        <w:widowControl/>
        <w:spacing w:line="266" w:lineRule="exact" w:before="0" w:after="0"/>
        <w:ind w:left="27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83" w:lineRule="auto" w:before="514" w:after="0"/>
        <w:ind w:left="4230" w:right="144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encouragement of the study of,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in, ayurveda by the grant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 and other facilities to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or proposed to be employed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and by the grant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aid and other assistance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providing courses of study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engaged in research in ayurveda;</w:t>
      </w:r>
    </w:p>
    <w:p>
      <w:pPr>
        <w:autoSpaceDN w:val="0"/>
        <w:autoSpaceDE w:val="0"/>
        <w:widowControl/>
        <w:spacing w:line="278" w:lineRule="auto" w:before="250" w:after="0"/>
        <w:ind w:left="4230" w:right="144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taking, development or encouragement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measures for the investigation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diseases, and for the improvement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health, according to ayurveda;</w:t>
      </w:r>
    </w:p>
    <w:p>
      <w:pPr>
        <w:autoSpaceDN w:val="0"/>
        <w:tabs>
          <w:tab w:pos="4230" w:val="left"/>
        </w:tabs>
        <w:autoSpaceDE w:val="0"/>
        <w:widowControl/>
        <w:spacing w:line="264" w:lineRule="auto" w:before="250" w:after="0"/>
        <w:ind w:left="387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any herbarium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8;</w:t>
      </w:r>
    </w:p>
    <w:p>
      <w:pPr>
        <w:autoSpaceDN w:val="0"/>
        <w:autoSpaceDE w:val="0"/>
        <w:widowControl/>
        <w:spacing w:line="276" w:lineRule="auto" w:before="250" w:after="0"/>
        <w:ind w:left="4230" w:right="144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for the wellbeing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creating and maintaining orderly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practices of Ayurveda medicine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surgery;</w:t>
      </w:r>
    </w:p>
    <w:p>
      <w:pPr>
        <w:autoSpaceDN w:val="0"/>
        <w:tabs>
          <w:tab w:pos="4228" w:val="left"/>
          <w:tab w:pos="4230" w:val="left"/>
        </w:tabs>
        <w:autoSpaceDE w:val="0"/>
        <w:widowControl/>
        <w:spacing w:line="276" w:lineRule="auto" w:before="252" w:after="0"/>
        <w:ind w:left="387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assurance of high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by regulating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registered Ayurveda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professionals; and</w:t>
      </w:r>
    </w:p>
    <w:p>
      <w:pPr>
        <w:autoSpaceDN w:val="0"/>
        <w:autoSpaceDE w:val="0"/>
        <w:widowControl/>
        <w:spacing w:line="283" w:lineRule="auto" w:before="250" w:after="0"/>
        <w:ind w:left="4230" w:right="144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of quality Ayurveda articles,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substances, and drugs and the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Herbal Gardens for Research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Extension or herbal cultivation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provisions of the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section 77,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through any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Part VI of the Act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purpose.”.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118" w:right="6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  <w:tr>
        <w:trPr>
          <w:trHeight w:hRule="exact" w:val="10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746" w:right="11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7 of the principal enactment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“Utilization of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moneys granted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granted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from time to time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utilized in carrying out the objects of the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crediting of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46" w:right="1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received, levied, or collected under this Act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way of fees or otherwise in carrying out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specified in the Act and in the discharge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64"/>
        <w:ind w:left="25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functions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credited to the Consolidated Fund.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50" w:lineRule="auto" w:before="60" w:after="0"/>
              <w:ind w:left="72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  <w:tr>
        <w:trPr>
          <w:trHeight w:hRule="exact" w:val="3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“In carrying out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166" w:right="277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specified in section 7,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Commissioner” of the words, “The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shall have the power to carry out the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7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doing so the Commissioner-General”; and</w:t>
      </w:r>
    </w:p>
    <w:p>
      <w:pPr>
        <w:autoSpaceDN w:val="0"/>
        <w:tabs>
          <w:tab w:pos="2166" w:val="left"/>
          <w:tab w:pos="2176" w:val="left"/>
        </w:tabs>
        <w:autoSpaceDE w:val="0"/>
        <w:widowControl/>
        <w:spacing w:line="254" w:lineRule="auto" w:before="228" w:after="164"/>
        <w:ind w:left="175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words, “Ayurvedic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hospitals” of the words  “Ayurveda hospitals, Herbal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Gardens for Research and Extension Services”.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50" w:lineRule="auto" w:before="60" w:after="0"/>
              <w:ind w:left="72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  <w:tr>
        <w:trPr>
          <w:trHeight w:hRule="exact" w:val="3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“ayurvedic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21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hospitals”, wherever those words appear,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 “Ayurveda hospitals, herbal cultivation,”;</w:t>
      </w:r>
    </w:p>
    <w:p>
      <w:pPr>
        <w:autoSpaceDN w:val="0"/>
        <w:tabs>
          <w:tab w:pos="2166" w:val="left"/>
        </w:tabs>
        <w:autoSpaceDE w:val="0"/>
        <w:widowControl/>
        <w:spacing w:line="247" w:lineRule="auto" w:before="228" w:after="0"/>
        <w:ind w:left="175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words, “ayurvedic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hospitals” wherever those words appear,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 “Ayurveda hospitals, herbal cultivation”;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“hospitals”</w:t>
            </w:r>
          </w:p>
        </w:tc>
      </w:tr>
    </w:tbl>
    <w:p>
      <w:pPr>
        <w:autoSpaceDN w:val="0"/>
        <w:autoSpaceDE w:val="0"/>
        <w:widowControl/>
        <w:spacing w:line="269" w:lineRule="auto" w:before="30" w:after="186"/>
        <w:ind w:left="35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wherever those words appear,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“hospitals, herbal cultivation”.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71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69" w:lineRule="auto" w:before="74" w:after="0"/>
              <w:ind w:left="126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 -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</w:tr>
    </w:tbl>
    <w:p>
      <w:pPr>
        <w:autoSpaceDN w:val="0"/>
        <w:autoSpaceDE w:val="0"/>
        <w:widowControl/>
        <w:spacing w:line="269" w:lineRule="auto" w:before="30" w:after="0"/>
        <w:ind w:left="35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autoSpaceDE w:val="0"/>
        <w:widowControl/>
        <w:spacing w:line="286" w:lineRule="auto" w:before="260" w:after="30"/>
        <w:ind w:left="4226" w:right="143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Dean of the Faculty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 of Gampaha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Wickramarachchi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88" w:lineRule="auto" w:before="30" w:after="0"/>
        <w:ind w:left="4226" w:right="143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the Head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Unit of Siddha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Dean of the Faculty of Siddha Medicine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Eastern University, Sri Lanka;”;</w:t>
      </w:r>
    </w:p>
    <w:p>
      <w:pPr>
        <w:autoSpaceDN w:val="0"/>
        <w:tabs>
          <w:tab w:pos="3506" w:val="left"/>
        </w:tabs>
        <w:autoSpaceDE w:val="0"/>
        <w:widowControl/>
        <w:spacing w:line="281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autoSpaceDE w:val="0"/>
        <w:widowControl/>
        <w:spacing w:line="235" w:lineRule="auto" w:before="262" w:after="0"/>
        <w:ind w:left="0" w:right="3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five members-</w:t>
      </w:r>
    </w:p>
    <w:p>
      <w:pPr>
        <w:autoSpaceDN w:val="0"/>
        <w:tabs>
          <w:tab w:pos="4586" w:val="left"/>
          <w:tab w:pos="4604" w:val="left"/>
        </w:tabs>
        <w:autoSpaceDE w:val="0"/>
        <w:widowControl/>
        <w:spacing w:line="295" w:lineRule="auto" w:before="260" w:after="0"/>
        <w:ind w:left="41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of them each representing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and Unani systems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Faculty of Indigenous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University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Sri Lanka and elected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 the Senior Lecturers;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46" w:val="left"/>
        </w:tabs>
        <w:autoSpaceDE w:val="0"/>
        <w:widowControl/>
        <w:spacing w:line="228" w:lineRule="exact" w:before="0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3246" w:val="left"/>
          <w:tab w:pos="3266" w:val="left"/>
        </w:tabs>
        <w:autoSpaceDE w:val="0"/>
        <w:widowControl/>
        <w:spacing w:line="281" w:lineRule="auto" w:before="526" w:after="0"/>
        <w:ind w:left="279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 elected from among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Lecturers of the Faculty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the Gampaha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Medicine, Sri Lanka;</w:t>
      </w:r>
    </w:p>
    <w:p>
      <w:pPr>
        <w:autoSpaceDN w:val="0"/>
        <w:tabs>
          <w:tab w:pos="3246" w:val="left"/>
          <w:tab w:pos="3268" w:val="left"/>
        </w:tabs>
        <w:autoSpaceDE w:val="0"/>
        <w:widowControl/>
        <w:spacing w:line="276" w:lineRule="auto" w:before="252" w:after="0"/>
        <w:ind w:left="273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 elected from among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Lecturers of the Unit of Siddha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University of Jaffna,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; and</w:t>
      </w:r>
    </w:p>
    <w:p>
      <w:pPr>
        <w:autoSpaceDN w:val="0"/>
        <w:tabs>
          <w:tab w:pos="3246" w:val="left"/>
          <w:tab w:pos="3266" w:val="left"/>
        </w:tabs>
        <w:autoSpaceDE w:val="0"/>
        <w:widowControl/>
        <w:spacing w:line="276" w:lineRule="auto" w:before="250" w:after="0"/>
        <w:ind w:left="2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 elected from among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Lecturers of the Faculty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the Eastern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University, Sri Lanka.”;</w:t>
      </w:r>
    </w:p>
    <w:p>
      <w:pPr>
        <w:autoSpaceDN w:val="0"/>
        <w:tabs>
          <w:tab w:pos="2166" w:val="left"/>
          <w:tab w:pos="2188" w:val="left"/>
        </w:tabs>
        <w:autoSpaceDE w:val="0"/>
        <w:widowControl/>
        <w:spacing w:line="274" w:lineRule="auto" w:before="250" w:after="0"/>
        <w:ind w:left="175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tabs>
          <w:tab w:pos="2886" w:val="left"/>
        </w:tabs>
        <w:autoSpaceDE w:val="0"/>
        <w:widowControl/>
        <w:spacing w:line="264" w:lineRule="auto" w:before="250" w:after="0"/>
        <w:ind w:left="24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more than twelve members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of whom-</w:t>
      </w:r>
    </w:p>
    <w:p>
      <w:pPr>
        <w:autoSpaceDN w:val="0"/>
        <w:autoSpaceDE w:val="0"/>
        <w:widowControl/>
        <w:spacing w:line="274" w:lineRule="auto" w:before="250" w:after="0"/>
        <w:ind w:left="3026" w:right="2772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three shall be so appointed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not registered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practitioners;</w:t>
      </w:r>
    </w:p>
    <w:p>
      <w:pPr>
        <w:autoSpaceDN w:val="0"/>
        <w:autoSpaceDE w:val="0"/>
        <w:widowControl/>
        <w:spacing w:line="274" w:lineRule="auto" w:before="252" w:after="0"/>
        <w:ind w:left="3026" w:right="277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three shall be so appointed from a panel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ten nominated by the All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Ayurvedic Practitioners’ Congress; and</w:t>
      </w:r>
    </w:p>
    <w:p>
      <w:pPr>
        <w:autoSpaceDN w:val="0"/>
        <w:autoSpaceDE w:val="0"/>
        <w:widowControl/>
        <w:spacing w:line="252" w:lineRule="auto" w:before="250" w:after="0"/>
        <w:ind w:left="3026" w:right="2772" w:hanging="4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two shall be so appointed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Ayurveda practitioners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not members of the All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Ayurvedic Practitioners’ Congress; and”;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6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the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new paragraph:-</w:t>
      </w:r>
    </w:p>
    <w:p>
      <w:pPr>
        <w:autoSpaceDN w:val="0"/>
        <w:autoSpaceDE w:val="0"/>
        <w:widowControl/>
        <w:spacing w:line="290" w:lineRule="auto" w:before="266" w:after="0"/>
        <w:ind w:left="4226" w:right="1434" w:hanging="4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member shall be so appointed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Treasury,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.”.</w:t>
      </w:r>
    </w:p>
    <w:p>
      <w:pPr>
        <w:autoSpaceDN w:val="0"/>
        <w:tabs>
          <w:tab w:pos="2786" w:val="left"/>
          <w:tab w:pos="3026" w:val="left"/>
        </w:tabs>
        <w:autoSpaceDE w:val="0"/>
        <w:widowControl/>
        <w:spacing w:line="288" w:lineRule="auto" w:before="262" w:after="0"/>
        <w:ind w:left="123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Amendment of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12 of the principal enactment is hereby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12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by the substitution for the words, commencing from </w:t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Council” to “or reappointment:”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autoSpaceDE w:val="0"/>
        <w:widowControl/>
        <w:spacing w:line="298" w:lineRule="auto" w:before="264" w:after="204"/>
        <w:ind w:left="3026" w:right="143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Council,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Dean of the 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Gampaha Wickramarachchi University of Indigenous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Siddha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University of Jaffna, Sri Lanka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Dean of the Faculty of Siddha Medicine of the Eastern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 shall, unless he vacates office earlier,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a term of three years and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>for re-election or reappointment, as the case may 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70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26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“Vacation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2" w:after="0"/>
              <w:ind w:left="144" w:right="576" w:firstLine="34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13. (1) A member of the Council,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Commissioner-General, the Dean of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Faculty of Indigenous Medicine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University of Colombo, Sri Lanka, the Dean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46" w:val="left"/>
        </w:tabs>
        <w:autoSpaceDE w:val="0"/>
        <w:widowControl/>
        <w:spacing w:line="228" w:lineRule="exact" w:before="0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78" w:lineRule="auto" w:before="742" w:after="0"/>
        <w:ind w:left="2520" w:right="280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Faculty of Indigenous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Gampaha Wickramarachchi University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the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the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Jaffna, Sri Lanka and the Dean of the Faculty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the Eastern University,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shall be deemed to have vacated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office–</w:t>
      </w:r>
    </w:p>
    <w:p>
      <w:pPr>
        <w:autoSpaceDN w:val="0"/>
        <w:tabs>
          <w:tab w:pos="3518" w:val="left"/>
        </w:tabs>
        <w:autoSpaceDE w:val="0"/>
        <w:widowControl/>
        <w:spacing w:line="271" w:lineRule="auto" w:before="244" w:after="0"/>
        <w:ind w:left="30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he is not a public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sending his resignation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the President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autoSpaceDN w:val="0"/>
        <w:tabs>
          <w:tab w:pos="3518" w:val="left"/>
        </w:tabs>
        <w:autoSpaceDE w:val="0"/>
        <w:widowControl/>
        <w:spacing w:line="274" w:lineRule="auto" w:before="244" w:after="0"/>
        <w:ind w:left="30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he is not a public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being absent without excuse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from three consecutive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Council;</w:t>
      </w:r>
    </w:p>
    <w:p>
      <w:pPr>
        <w:autoSpaceDN w:val="0"/>
        <w:tabs>
          <w:tab w:pos="3518" w:val="left"/>
        </w:tabs>
        <w:autoSpaceDE w:val="0"/>
        <w:widowControl/>
        <w:spacing w:line="276" w:lineRule="auto" w:before="246" w:after="0"/>
        <w:ind w:left="305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his ceasing to be a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practitioner, or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taking effect of an order made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 under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suspending his registration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practitioner; or</w:t>
      </w:r>
    </w:p>
    <w:p>
      <w:pPr>
        <w:autoSpaceDN w:val="0"/>
        <w:tabs>
          <w:tab w:pos="3518" w:val="left"/>
        </w:tabs>
        <w:autoSpaceDE w:val="0"/>
        <w:widowControl/>
        <w:spacing w:line="269" w:lineRule="auto" w:before="242" w:after="0"/>
        <w:ind w:left="30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his being convicted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the Penal Code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p>
      <w:pPr>
        <w:autoSpaceDN w:val="0"/>
        <w:autoSpaceDE w:val="0"/>
        <w:widowControl/>
        <w:spacing w:line="259" w:lineRule="auto" w:before="246" w:after="0"/>
        <w:ind w:left="2498" w:right="2736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deemed to have vacated office as a member of</w:t>
      </w:r>
    </w:p>
    <w:p>
      <w:pPr>
        <w:autoSpaceDN w:val="0"/>
        <w:autoSpaceDE w:val="0"/>
        <w:widowControl/>
        <w:spacing w:line="257" w:lineRule="auto" w:before="80" w:after="0"/>
        <w:ind w:left="24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 on his ceasing to hold office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80" w:val="left"/>
        </w:tabs>
        <w:autoSpaceDE w:val="0"/>
        <w:widowControl/>
        <w:spacing w:line="266" w:lineRule="exact" w:before="0" w:after="0"/>
        <w:ind w:left="27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90" w:lineRule="auto" w:before="508" w:after="196"/>
        <w:ind w:left="3866" w:right="1434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Dean of the Faculty of Indigenous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Gampaha Wickramarachchi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Dean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Faculty of Siddha Medicine of the Eastern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as the case may be,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vacated office as a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on him ceasing to hold office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Dean or the Head of any of the aforesaid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respective Institutions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172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  <w:p>
            <w:pPr>
              <w:autoSpaceDN w:val="0"/>
              <w:autoSpaceDE w:val="0"/>
              <w:widowControl/>
              <w:spacing w:line="247" w:lineRule="auto" w:before="512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26" w:right="7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words, “shall be six.”,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thirteen.”.</w:t>
            </w:r>
          </w:p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66" w:lineRule="auto" w:before="254" w:after="0"/>
              <w:ind w:left="126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2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the following new paragraph:-</w:t>
      </w:r>
    </w:p>
    <w:p>
      <w:pPr>
        <w:autoSpaceDN w:val="0"/>
        <w:tabs>
          <w:tab w:pos="4106" w:val="left"/>
        </w:tabs>
        <w:autoSpaceDE w:val="0"/>
        <w:widowControl/>
        <w:spacing w:line="264" w:lineRule="auto" w:before="256" w:after="0"/>
        <w:ind w:left="355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registration of persons as Ayurveda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massage therapists;”;</w:t>
      </w:r>
    </w:p>
    <w:p>
      <w:pPr>
        <w:autoSpaceDN w:val="0"/>
        <w:tabs>
          <w:tab w:pos="3506" w:val="left"/>
          <w:tab w:pos="3524" w:val="left"/>
        </w:tabs>
        <w:autoSpaceDE w:val="0"/>
        <w:widowControl/>
        <w:spacing w:line="276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words, “registration; and” of the words,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“registration;”;</w:t>
      </w:r>
    </w:p>
    <w:p>
      <w:pPr>
        <w:autoSpaceDN w:val="0"/>
        <w:tabs>
          <w:tab w:pos="3506" w:val="left"/>
          <w:tab w:pos="3522" w:val="left"/>
        </w:tabs>
        <w:autoSpaceDE w:val="0"/>
        <w:widowControl/>
        <w:spacing w:line="278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in subparagraph (i),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“and ayurvedic nurses;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“and Ayurveda nurses,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therapist; 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  <w:tr>
        <w:trPr>
          <w:trHeight w:hRule="exact" w:val="80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244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paragraph:-</w:t>
      </w:r>
    </w:p>
    <w:p>
      <w:pPr>
        <w:autoSpaceDN w:val="0"/>
        <w:autoSpaceDE w:val="0"/>
        <w:widowControl/>
        <w:spacing w:line="245" w:lineRule="auto" w:before="206" w:after="0"/>
        <w:ind w:left="2758" w:right="2782" w:hanging="5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representative of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Finance or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Treasury;”;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45" w:lineRule="auto" w:before="208" w:after="0"/>
        <w:ind w:left="17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autoSpaceDE w:val="0"/>
        <w:widowControl/>
        <w:spacing w:line="245" w:lineRule="auto" w:before="208" w:after="0"/>
        <w:ind w:left="2756" w:right="2782" w:hanging="4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Dean of the Faculty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the Gampaha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the University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Jaffna, Sri Lanka and the Dean of the Faculty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the Eastern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University, Sri Lanka;”;</w:t>
      </w:r>
    </w:p>
    <w:p>
      <w:pPr>
        <w:autoSpaceDN w:val="0"/>
        <w:tabs>
          <w:tab w:pos="2158" w:val="left"/>
          <w:tab w:pos="2174" w:val="left"/>
        </w:tabs>
        <w:autoSpaceDE w:val="0"/>
        <w:widowControl/>
        <w:spacing w:line="245" w:lineRule="auto" w:before="206" w:after="0"/>
        <w:ind w:left="17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the following new paragraph:-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08" w:after="0"/>
        <w:ind w:left="220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National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Traditional Medicine;”;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45" w:lineRule="auto" w:before="208" w:after="0"/>
        <w:ind w:left="17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06" w:after="0"/>
        <w:ind w:left="23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Ayurveda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Hospital;”;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2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and the</w:t>
      </w:r>
    </w:p>
    <w:p>
      <w:pPr>
        <w:autoSpaceDN w:val="0"/>
        <w:autoSpaceDE w:val="0"/>
        <w:widowControl/>
        <w:spacing w:line="238" w:lineRule="auto" w:before="3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new</w:t>
      </w:r>
    </w:p>
    <w:p>
      <w:pPr>
        <w:autoSpaceDN w:val="0"/>
        <w:autoSpaceDE w:val="0"/>
        <w:widowControl/>
        <w:spacing w:line="238" w:lineRule="auto" w:before="3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80" w:val="left"/>
        </w:tabs>
        <w:autoSpaceDE w:val="0"/>
        <w:widowControl/>
        <w:spacing w:line="266" w:lineRule="exact" w:before="0" w:after="0"/>
        <w:ind w:left="27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45" w:lineRule="auto" w:before="470" w:after="134"/>
        <w:ind w:left="4092" w:right="1448" w:hanging="44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of the rank of a Senior Assistant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of a higher rank of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appointed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recommendation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Higher Education;”;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2" w:right="708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therefor, of the following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6"/>
        <w:ind w:left="4092" w:right="1448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 appointed by the Minister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Higher Education-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4510"/>
        <w:gridCol w:w="4510"/>
      </w:tblGrid>
      <w:tr>
        <w:trPr>
          <w:trHeight w:hRule="exact" w:val="405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5" w:lineRule="auto" w:before="108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8" w:lineRule="auto" w:before="8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35" w:lineRule="auto" w:before="6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2" w:right="7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of them each representing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Ayurveda and Unani systems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medicine of the Faculty of Indigenous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Medicine of the University of Colombo,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45" w:lineRule="auto" w:before="196" w:after="0"/>
              <w:ind w:left="90" w:right="708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of them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Faculty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Indigenous Medicine of the Gampaha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Wickramarachchi University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Indigenous Medicine, Sri Lanka;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90" w:right="708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of them from the Unit of Siddha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Medicine of University of Jaffna,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 and</w:t>
            </w:r>
          </w:p>
          <w:p>
            <w:pPr>
              <w:autoSpaceDN w:val="0"/>
              <w:autoSpaceDE w:val="0"/>
              <w:widowControl/>
              <w:spacing w:line="245" w:lineRule="auto" w:before="196" w:after="0"/>
              <w:ind w:left="90" w:right="7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of them from the Faculty of Siddha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Medicine of the Eastern University,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134"/>
        <w:ind w:left="409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among the lecturers of each Faculty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Unit;”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" w:right="708" w:firstLine="2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therefor, of the following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</w:tr>
    </w:tbl>
    <w:p>
      <w:pPr>
        <w:autoSpaceDN w:val="0"/>
        <w:tabs>
          <w:tab w:pos="4090" w:val="left"/>
        </w:tabs>
        <w:autoSpaceDE w:val="0"/>
        <w:widowControl/>
        <w:spacing w:line="245" w:lineRule="auto" w:before="136" w:after="0"/>
        <w:ind w:left="369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members, other than the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48" w:val="left"/>
        </w:tabs>
        <w:autoSpaceDE w:val="0"/>
        <w:widowControl/>
        <w:spacing w:line="228" w:lineRule="exact" w:before="0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6" w:lineRule="auto" w:before="524" w:after="0"/>
        <w:ind w:left="3338" w:right="2782" w:hanging="3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two of them each representing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and Unani systems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Faculty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University of Colombo, Sri Lanka;</w:t>
      </w:r>
    </w:p>
    <w:p>
      <w:pPr>
        <w:autoSpaceDN w:val="0"/>
        <w:tabs>
          <w:tab w:pos="3338" w:val="left"/>
          <w:tab w:pos="4624" w:val="left"/>
        </w:tabs>
        <w:autoSpaceDE w:val="0"/>
        <w:widowControl/>
        <w:spacing w:line="262" w:lineRule="auto" w:before="232" w:after="0"/>
        <w:ind w:left="297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one of them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autoSpaceDE w:val="0"/>
        <w:widowControl/>
        <w:spacing w:line="259" w:lineRule="auto" w:before="232" w:after="0"/>
        <w:ind w:left="3338" w:right="2782" w:hanging="4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one of them from  the Unit of Siddha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p>
      <w:pPr>
        <w:autoSpaceDN w:val="0"/>
        <w:autoSpaceDE w:val="0"/>
        <w:widowControl/>
        <w:spacing w:line="259" w:lineRule="auto" w:before="230" w:after="0"/>
        <w:ind w:left="3338" w:right="2782" w:hanging="41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one of them from the Faculty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the Eastern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University, Sri Lanka,</w:t>
      </w:r>
    </w:p>
    <w:p>
      <w:pPr>
        <w:autoSpaceDN w:val="0"/>
        <w:autoSpaceDE w:val="0"/>
        <w:widowControl/>
        <w:spacing w:line="254" w:lineRule="auto" w:before="232" w:after="0"/>
        <w:ind w:left="25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elected by the lecturers of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 Unit from among themselves;”;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59" w:lineRule="auto" w:before="232" w:after="0"/>
        <w:ind w:left="169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(8)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</w:p>
    <w:p>
      <w:pPr>
        <w:autoSpaceDN w:val="0"/>
        <w:autoSpaceDE w:val="0"/>
        <w:widowControl/>
        <w:spacing w:line="264" w:lineRule="auto" w:before="230" w:after="172"/>
        <w:ind w:left="253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more than eight members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from among registered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 of whom not more than two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so appointed from a panel of six nominated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All Ceylon Ayurvedic Practitioners’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Congress;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from “Each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of the Board” to “or reappointment:”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 -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80" w:val="left"/>
        </w:tabs>
        <w:autoSpaceDE w:val="0"/>
        <w:widowControl/>
        <w:spacing w:line="266" w:lineRule="exact" w:before="0" w:after="0"/>
        <w:ind w:left="27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54" w:lineRule="auto" w:before="484" w:after="156"/>
        <w:ind w:left="302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Board,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" w:hAnsi="Times" w:eastAsia="Times"/>
          <w:b w:val="0"/>
          <w:i w:val="0"/>
          <w:color w:val="000000"/>
          <w:sz w:val="20"/>
        </w:rPr>
        <w:t>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Dean of the 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Gampaha Wickramarachchi University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the Head of the Faculty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the University of Jaffna,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Dean of the Faculty of Siddha Medicine of the Eastern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the Head of the Ayurveda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and the Head of the National 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Traditional Medicine, shall, unless such member vacates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 earlier, hold office for a term of three years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re-election or reappointment,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622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24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60" w:after="0"/>
              <w:ind w:left="1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from “A member of the Board” to “Hospital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Ayurveda”, of the words, “A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other than the Commissioner-General,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the Dean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Faculty of Indigenous Medicine of the Gampaha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Siddha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Lanka,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Dean of the Faculty of Siddha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University, Sri Lanka, the Head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National Hospital and the Head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Institute of Traditional Medicine,”;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18" w:after="0"/>
        <w:ind w:left="308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50" w:lineRule="auto" w:before="216" w:after="0"/>
        <w:ind w:left="3802" w:right="1436" w:firstLine="4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Dean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the Dean of the Faculty of Indigenous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9" w:lineRule="auto" w:before="494" w:after="0"/>
        <w:ind w:left="2466" w:right="277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the Gampaha Wickramarachchi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Dean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Faculty of Siddha Medicine of the Eastern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shall be deemed to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vacated office as a member of the Board on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ceasing to hold the office of the Dean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Lanka, the Dean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Faculty of Indigenous Medicine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Gampaha Wickramarachchi University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the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University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Jaffna, Sri Lanka or the Dean of the Faculty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Eastern University,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as the case may be.”;</w:t>
      </w:r>
    </w:p>
    <w:p>
      <w:pPr>
        <w:autoSpaceDN w:val="0"/>
        <w:tabs>
          <w:tab w:pos="2148" w:val="left"/>
          <w:tab w:pos="2166" w:val="left"/>
        </w:tabs>
        <w:autoSpaceDE w:val="0"/>
        <w:widowControl/>
        <w:spacing w:line="254" w:lineRule="auto" w:before="232" w:after="0"/>
        <w:ind w:left="17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(4)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autoSpaceDE w:val="0"/>
        <w:widowControl/>
        <w:spacing w:line="264" w:lineRule="auto" w:before="234" w:after="174"/>
        <w:ind w:left="2886" w:right="277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Head of the Ayurveda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shall be deemed to have vacated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as a member of the Board on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ceasing to hold the office of the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Ayurveda National Hospital.”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62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26" w:right="17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words, “shall be six.”,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“shall be fourteen.”.</w:t>
            </w:r>
          </w:p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57" w:lineRule="auto" w:before="230" w:after="0"/>
              <w:ind w:left="726" w:right="144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7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72" w:after="0"/>
              <w:ind w:left="17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thereof,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21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therefor,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tabs>
          <w:tab w:pos="3916" w:val="left"/>
        </w:tabs>
        <w:autoSpaceDE w:val="0"/>
        <w:widowControl/>
        <w:spacing w:line="235" w:lineRule="auto" w:before="496" w:after="0"/>
        <w:ind w:left="34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determine-</w:t>
      </w:r>
    </w:p>
    <w:p>
      <w:pPr>
        <w:autoSpaceDN w:val="0"/>
        <w:tabs>
          <w:tab w:pos="4156" w:val="left"/>
        </w:tabs>
        <w:autoSpaceDE w:val="0"/>
        <w:widowControl/>
        <w:spacing w:line="262" w:lineRule="auto" w:before="240" w:after="0"/>
        <w:ind w:left="37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required for the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postgraduate degrees, basic degrees,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diplomas, and certificates under this Act;</w:t>
      </w:r>
    </w:p>
    <w:p>
      <w:pPr>
        <w:autoSpaceDN w:val="0"/>
        <w:tabs>
          <w:tab w:pos="4156" w:val="left"/>
        </w:tabs>
        <w:autoSpaceDE w:val="0"/>
        <w:widowControl/>
        <w:spacing w:line="269" w:lineRule="auto" w:before="236" w:after="0"/>
        <w:ind w:left="372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standards of the courses conferring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basic degrees, diplomas and certificates,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local or foreign universities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degree-awarding institutions,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p>
      <w:pPr>
        <w:autoSpaceDN w:val="0"/>
        <w:tabs>
          <w:tab w:pos="4156" w:val="left"/>
          <w:tab w:pos="4158" w:val="left"/>
        </w:tabs>
        <w:autoSpaceDE w:val="0"/>
        <w:widowControl/>
        <w:spacing w:line="266" w:lineRule="auto" w:before="236" w:after="0"/>
        <w:ind w:left="367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hold examinations for the 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basic degrees, diplomas and certificates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degree-awarding institutions,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p>
      <w:pPr>
        <w:autoSpaceDN w:val="0"/>
        <w:tabs>
          <w:tab w:pos="4156" w:val="left"/>
        </w:tabs>
        <w:autoSpaceDE w:val="0"/>
        <w:widowControl/>
        <w:spacing w:line="269" w:lineRule="auto" w:before="240" w:after="0"/>
        <w:ind w:left="368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standards and period of internship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required by holders of basic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degrees, diplomas and certificates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 awarding institutions,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Act;”;</w:t>
      </w:r>
    </w:p>
    <w:p>
      <w:pPr>
        <w:autoSpaceDN w:val="0"/>
        <w:tabs>
          <w:tab w:pos="3434" w:val="left"/>
          <w:tab w:pos="3436" w:val="left"/>
        </w:tabs>
        <w:autoSpaceDE w:val="0"/>
        <w:widowControl/>
        <w:spacing w:line="266" w:lineRule="auto" w:before="236" w:after="0"/>
        <w:ind w:left="30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“enable persons to obtain”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 postgraduate degrees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basic degrees or”;</w:t>
      </w:r>
    </w:p>
    <w:p>
      <w:pPr>
        <w:autoSpaceDN w:val="0"/>
        <w:tabs>
          <w:tab w:pos="3434" w:val="left"/>
          <w:tab w:pos="3436" w:val="left"/>
        </w:tabs>
        <w:autoSpaceDE w:val="0"/>
        <w:widowControl/>
        <w:spacing w:line="266" w:lineRule="auto" w:before="236" w:after="0"/>
        <w:ind w:left="30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“enable persons to obtain”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 postgraduate degrees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basic degrees or”;</w:t>
      </w:r>
    </w:p>
    <w:p>
      <w:pPr>
        <w:autoSpaceDN w:val="0"/>
        <w:tabs>
          <w:tab w:pos="3434" w:val="left"/>
          <w:tab w:pos="3436" w:val="left"/>
        </w:tabs>
        <w:autoSpaceDE w:val="0"/>
        <w:widowControl/>
        <w:spacing w:line="257" w:lineRule="auto" w:before="240" w:after="0"/>
        <w:ind w:left="30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632" w:val="left"/>
        </w:tabs>
        <w:autoSpaceDE w:val="0"/>
        <w:widowControl/>
        <w:spacing w:line="264" w:lineRule="auto" w:before="494" w:after="172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fees to be prescribed,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for the award of postgraduate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degrees, basic degrees, diplomas,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certificates under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2" w:right="18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(1)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4" w:lineRule="auto" w:before="136" w:after="0"/>
        <w:ind w:left="1912" w:right="2786" w:firstLine="2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“(1) There shall be a Committee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called the Ayurveda Research Committee,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Part referred to as “the Committee”)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consist of fourteen members, namely-</w:t>
      </w:r>
    </w:p>
    <w:p>
      <w:pPr>
        <w:autoSpaceDN w:val="0"/>
        <w:tabs>
          <w:tab w:pos="2632" w:val="left"/>
        </w:tabs>
        <w:autoSpaceDE w:val="0"/>
        <w:widowControl/>
        <w:spacing w:line="235" w:lineRule="auto" w:before="232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Commissioner-General;</w:t>
      </w:r>
    </w:p>
    <w:p>
      <w:pPr>
        <w:autoSpaceDN w:val="0"/>
        <w:tabs>
          <w:tab w:pos="2632" w:val="left"/>
        </w:tabs>
        <w:autoSpaceDE w:val="0"/>
        <w:widowControl/>
        <w:spacing w:line="238" w:lineRule="auto" w:before="23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Head of the Ayurveda National Hospital;</w:t>
      </w:r>
    </w:p>
    <w:p>
      <w:pPr>
        <w:autoSpaceDN w:val="0"/>
        <w:tabs>
          <w:tab w:pos="2632" w:val="left"/>
        </w:tabs>
        <w:autoSpaceDE w:val="0"/>
        <w:widowControl/>
        <w:spacing w:line="257" w:lineRule="auto" w:before="230" w:after="0"/>
        <w:ind w:left="223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Bandaranayake Memorial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Research Institute;</w:t>
      </w:r>
    </w:p>
    <w:p>
      <w:pPr>
        <w:autoSpaceDN w:val="0"/>
        <w:tabs>
          <w:tab w:pos="2632" w:val="left"/>
        </w:tabs>
        <w:autoSpaceDE w:val="0"/>
        <w:widowControl/>
        <w:spacing w:line="266" w:lineRule="auto" w:before="230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Professors of traditional medicine,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representing the University of Colombo,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Gampaha Wickramarachchi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and the Faculty of Siddha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Medicine of Eastern University, Sri Lanka;</w:t>
      </w:r>
    </w:p>
    <w:p>
      <w:pPr>
        <w:autoSpaceDN w:val="0"/>
        <w:tabs>
          <w:tab w:pos="2632" w:val="left"/>
        </w:tabs>
        <w:autoSpaceDE w:val="0"/>
        <w:widowControl/>
        <w:spacing w:line="264" w:lineRule="auto" w:before="234" w:after="0"/>
        <w:ind w:left="223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Science Foundation established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Science and Technology Development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47514F"/>
          <w:sz w:val="20"/>
        </w:rPr>
        <w:t>No. 11 of 1994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632" w:val="left"/>
        </w:tabs>
        <w:autoSpaceDE w:val="0"/>
        <w:widowControl/>
        <w:spacing w:line="264" w:lineRule="auto" w:before="230" w:after="0"/>
        <w:ind w:left="22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Property Office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Intellectual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36 of 2003;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tabs>
          <w:tab w:pos="3866" w:val="left"/>
        </w:tabs>
        <w:autoSpaceDE w:val="0"/>
        <w:widowControl/>
        <w:spacing w:line="254" w:lineRule="auto" w:before="448" w:after="0"/>
        <w:ind w:left="344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nominated by the Secretary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 Science;</w:t>
      </w:r>
    </w:p>
    <w:p>
      <w:pPr>
        <w:autoSpaceDN w:val="0"/>
        <w:tabs>
          <w:tab w:pos="3866" w:val="left"/>
        </w:tabs>
        <w:autoSpaceDE w:val="0"/>
        <w:widowControl/>
        <w:spacing w:line="254" w:lineRule="auto" w:before="224" w:after="0"/>
        <w:ind w:left="344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appointed by the Minister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possess ten or more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experience in the field of law;</w:t>
      </w:r>
    </w:p>
    <w:p>
      <w:pPr>
        <w:autoSpaceDN w:val="0"/>
        <w:tabs>
          <w:tab w:pos="3866" w:val="left"/>
        </w:tabs>
        <w:autoSpaceDE w:val="0"/>
        <w:widowControl/>
        <w:spacing w:line="254" w:lineRule="auto" w:before="226" w:after="0"/>
        <w:ind w:left="349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appointed by the Minister,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Ayurveda Practitioners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special register; and</w:t>
      </w:r>
    </w:p>
    <w:p>
      <w:pPr>
        <w:autoSpaceDN w:val="0"/>
        <w:tabs>
          <w:tab w:pos="3866" w:val="left"/>
        </w:tabs>
        <w:autoSpaceDE w:val="0"/>
        <w:widowControl/>
        <w:spacing w:line="257" w:lineRule="auto" w:before="224" w:after="164"/>
        <w:ind w:left="349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not below the rank of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 appointed by the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Ministry of the Minister to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 is assigned.”.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59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176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41of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6" w:right="77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words, “shall be three.”,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five.”.</w:t>
            </w:r>
          </w:p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50" w:lineRule="auto" w:before="224" w:after="0"/>
              <w:ind w:left="146" w:right="72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 subsection (1) thereof, by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3386" w:right="155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  “ayurvedic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treatment” of the  words “ayurveda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treatment and Ayurveda Primary Health Care”;</w:t>
      </w:r>
    </w:p>
    <w:p>
      <w:pPr>
        <w:autoSpaceDN w:val="0"/>
        <w:tabs>
          <w:tab w:pos="3386" w:val="left"/>
        </w:tabs>
        <w:autoSpaceDE w:val="0"/>
        <w:widowControl/>
        <w:spacing w:line="254" w:lineRule="auto" w:before="224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insertion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 -</w:t>
      </w:r>
    </w:p>
    <w:p>
      <w:pPr>
        <w:autoSpaceDN w:val="0"/>
        <w:autoSpaceDE w:val="0"/>
        <w:widowControl/>
        <w:spacing w:line="254" w:lineRule="auto" w:before="224" w:after="0"/>
        <w:ind w:left="4106" w:right="1554" w:hanging="57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charging of any prescribed fees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matters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);”;</w:t>
      </w:r>
    </w:p>
    <w:p>
      <w:pPr>
        <w:autoSpaceDN w:val="0"/>
        <w:tabs>
          <w:tab w:pos="3384" w:val="left"/>
        </w:tabs>
        <w:autoSpaceDE w:val="0"/>
        <w:widowControl/>
        <w:spacing w:line="238" w:lineRule="auto" w:before="226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addition, immediately after subsection (2)</w:t>
      </w:r>
    </w:p>
    <w:p>
      <w:pPr>
        <w:autoSpaceDN w:val="0"/>
        <w:autoSpaceDE w:val="0"/>
        <w:widowControl/>
        <w:spacing w:line="235" w:lineRule="auto" w:before="46" w:after="0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9" w:lineRule="auto" w:before="512" w:after="166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Formulating one or more sub-committees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duties and responsibilities specified in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sections (1) and (2).”.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4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addition,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 after  paragraph 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of the  following 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 for the registration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64"/>
        <w:ind w:left="0" w:right="3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Ayurveda massage therapists.”.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“ayurvedic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pharmacist or ayurvedic nurse” wherever they appear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  <w:p>
            <w:pPr>
              <w:autoSpaceDN w:val="0"/>
              <w:autoSpaceDE w:val="0"/>
              <w:widowControl/>
              <w:spacing w:line="235" w:lineRule="auto" w:before="5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6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massage therapist”.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“ayurvedic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pharmacist or ayurvedic nurse” wherever they appear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  <w:p>
            <w:pPr>
              <w:autoSpaceDN w:val="0"/>
              <w:autoSpaceDE w:val="0"/>
              <w:widowControl/>
              <w:spacing w:line="235" w:lineRule="auto" w:before="5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64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massage therapist”.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thereof,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“The institute of Ayurveda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 of Ceylon; or” of the words “the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Faculty of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9" w:lineRule="auto" w:before="12" w:after="164"/>
        <w:ind w:left="1438" w:right="278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 the Faculty of Indigenous Medicine of the Gampaha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Medicine,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Unit of Siddha Medicine of the University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Jaffna, Sri Lanka, the Faculty of Siddha Medicine of the </w:t>
      </w:r>
      <w:r>
        <w:rPr>
          <w:rFonts w:ascii="Times" w:hAnsi="Times" w:eastAsia="Times"/>
          <w:b w:val="0"/>
          <w:i w:val="0"/>
          <w:color w:val="221F1F"/>
          <w:sz w:val="20"/>
        </w:rPr>
        <w:t>Eastern University, Sri Lanka;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44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tabs>
          <w:tab w:pos="3882" w:val="left"/>
          <w:tab w:pos="4162" w:val="left"/>
          <w:tab w:pos="4224" w:val="left"/>
          <w:tab w:pos="5376" w:val="left"/>
          <w:tab w:pos="6532" w:val="left"/>
        </w:tabs>
        <w:autoSpaceDE w:val="0"/>
        <w:widowControl/>
        <w:spacing w:line="257" w:lineRule="auto" w:before="508" w:after="192"/>
        <w:ind w:left="26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“Qualifications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56. No person shall be entitled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Ayurveda pharmacist,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registration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nurse or Ayurveda massage therapist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pharmacist,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unless such person-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nurse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 citizen of Sri Lanka;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massage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therapist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satisfies the Council that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skill in the science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Ayurveda medicines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efficiently or sufficient experience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nursing or professional skill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Ayurveda massage therapist 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7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64" w:lineRule="auto" w:before="60" w:after="0"/>
              <w:ind w:left="2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</w:tr>
    </w:tbl>
    <w:p>
      <w:pPr>
        <w:autoSpaceDN w:val="0"/>
        <w:autoSpaceDE w:val="0"/>
        <w:widowControl/>
        <w:spacing w:line="274" w:lineRule="auto" w:before="26" w:after="0"/>
        <w:ind w:left="39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therapist,”;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78" w:lineRule="auto" w:before="252" w:after="0"/>
        <w:ind w:left="35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therapist,”;</w:t>
      </w:r>
    </w:p>
    <w:p>
      <w:pPr>
        <w:autoSpaceDN w:val="0"/>
        <w:tabs>
          <w:tab w:pos="3984" w:val="left"/>
        </w:tabs>
        <w:autoSpaceDE w:val="0"/>
        <w:widowControl/>
        <w:spacing w:line="259" w:lineRule="auto" w:before="25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diploma or certificate”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postgraduate degree or basic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degree or diploma or certificate”;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302" w:lineRule="auto" w:before="530" w:after="220"/>
        <w:ind w:left="17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appear in that subsection,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“Ayurveda pharmacist or Ayurveda nurse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Ayurveda massage therapist”;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4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738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“ayurvedic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3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of the words “Ayurveda pharmacist or Ayurveda </w:t>
      </w:r>
      <w:r>
        <w:rPr>
          <w:rFonts w:ascii="Times" w:hAnsi="Times" w:eastAsia="Times"/>
          <w:b w:val="0"/>
          <w:i w:val="0"/>
          <w:color w:val="221F1F"/>
          <w:sz w:val="20"/>
        </w:rPr>
        <w:t>nurse or Ayurveda massage therapists,”.</w:t>
      </w:r>
    </w:p>
    <w:p>
      <w:pPr>
        <w:autoSpaceDN w:val="0"/>
        <w:tabs>
          <w:tab w:pos="1678" w:val="left"/>
        </w:tabs>
        <w:autoSpaceDE w:val="0"/>
        <w:widowControl/>
        <w:spacing w:line="278" w:lineRule="auto" w:before="278" w:after="218"/>
        <w:ind w:left="143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Section 59 of the principal enactment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>amended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“ayurvedic pharmacist or ayurvedic nurse”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59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words “register of ayurvedic nurses,”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302" w:lineRule="auto" w:before="4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wherever those words appear,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pharmacist, Ayurveda nurse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therapist” and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nurses,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therapists,”, respectively;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310" w:lineRule="auto" w:before="280" w:after="0"/>
        <w:ind w:left="168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words “register of ayurvedic nurses,”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wherever those words appear,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pharmacist or Ayurveda nurse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therapist” and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nurses, the register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therapists,”, respectively;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168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words “register of ayurvedic nurses,”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“Ayurveda pharmacist or Ayurveda nurse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therapist” and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nurses,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therapists,”,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52" w:lineRule="auto" w:before="60" w:after="0"/>
              <w:ind w:left="26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“Fees to be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60.(1) The fee for registration as an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charged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purposes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exercise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Ayurvedic practitioner, Ayurveda pharmacist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Ayurveda nurse or Ayurveda massage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therapist, shall be such sum as may be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and in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by rules made by the Council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carrying out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under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Registrar shall not register the name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41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 in the register of Ayurveda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38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practitioners, the register of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pharmacists, register of Ayurveda nurses,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of Ayurveda massage therapists,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fee for registration as an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practitioner, Ayurveda pharmacist or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nurse or Ayurveda massage therapist,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be, is paid by that person.</w:t>
      </w:r>
    </w:p>
    <w:p>
      <w:pPr>
        <w:autoSpaceDN w:val="0"/>
        <w:autoSpaceDE w:val="0"/>
        <w:widowControl/>
        <w:spacing w:line="259" w:lineRule="auto" w:before="226" w:after="0"/>
        <w:ind w:left="3844" w:right="1436" w:firstLine="2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fees chargeable by the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Hospital Board in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functions, and duties under section 30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shall be as prescribed by regulations.</w:t>
      </w:r>
    </w:p>
    <w:p>
      <w:pPr>
        <w:autoSpaceDN w:val="0"/>
        <w:autoSpaceDE w:val="0"/>
        <w:widowControl/>
        <w:spacing w:line="259" w:lineRule="auto" w:before="226" w:after="0"/>
        <w:ind w:left="3844" w:right="1436" w:firstLine="2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fees chargeable by the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Committee for the performance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under section 41 of the Act, shall be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9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0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214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4" w:after="0"/>
              <w:ind w:left="738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“Ayurvedic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pharmacist or ayurvedic nurse” of the words “Ayurveda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Ayurveda nurse or Ayurveda massage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5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therapist”;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2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“register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Ayurvedic nurses,” and the words “ayurvedic pharmacist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nurse” of the words “register of Ayurveda nurses,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5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 register of Ayurveda massage therapists,” and the words,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pharmacist or Ayurveda nurse or Ayurveda </w:t>
      </w:r>
      <w:r>
        <w:rPr>
          <w:rFonts w:ascii="Times" w:hAnsi="Times" w:eastAsia="Times"/>
          <w:b w:val="0"/>
          <w:i w:val="0"/>
          <w:color w:val="221F1F"/>
          <w:sz w:val="20"/>
        </w:rPr>
        <w:t>massage therapist”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8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144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  <w:p>
            <w:pPr>
              <w:autoSpaceDN w:val="0"/>
              <w:autoSpaceDE w:val="0"/>
              <w:widowControl/>
              <w:spacing w:line="235" w:lineRule="auto" w:before="218" w:after="0"/>
              <w:ind w:left="1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“Ayurveda pharmacist or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nurse or Ayurveda massage therapist”;</w:t>
      </w:r>
    </w:p>
    <w:p>
      <w:pPr>
        <w:autoSpaceDN w:val="0"/>
        <w:autoSpaceDE w:val="0"/>
        <w:widowControl/>
        <w:spacing w:line="252" w:lineRule="auto" w:before="218" w:after="158"/>
        <w:ind w:left="2158" w:right="278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words “register of ayurvedic nurses,”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“Ayurveda pharmacist or Ayurveda nurse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therapist” and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nurses,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massage therapists,”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34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44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1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therapist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treated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duly qualified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4" w:after="0"/>
              <w:ind w:left="78" w:right="1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66. For the purposes of any written law,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Ayurveda pharmacist,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nurse or Ayurveda massage therapist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a legally or duly qualified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pharmacist, Ayurveda nurse or</w:t>
            </w:r>
          </w:p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massage therapist, respectively.”.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30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“special register of ayurvedic practitioners,”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18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“in the Special register of Ayurveda practitioners,”.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716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8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pharmacist,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4" w:after="0"/>
              <w:ind w:left="344" w:right="57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70. (1) Every registered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shall be entitled to manufacture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medicines.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registered Ayurveda nurse shall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massage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entitled to practise ayurveda nursing.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therapist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entitled to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registered Ayurveda massage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manufacture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practice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3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therapist shall be entitled to practise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massage techniques.”.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57" w:lineRule="auto" w:before="130" w:after="0"/>
              <w:ind w:left="2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3502" w:right="14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“registered ayurvedic nurse,” wherever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appear in that subsection,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nurse or registered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massage therapist,”;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42" w:after="0"/>
        <w:ind w:left="308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(2)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subsection: -</w:t>
      </w:r>
    </w:p>
    <w:p>
      <w:pPr>
        <w:autoSpaceDN w:val="0"/>
        <w:autoSpaceDE w:val="0"/>
        <w:widowControl/>
        <w:spacing w:line="271" w:lineRule="auto" w:before="240" w:after="0"/>
        <w:ind w:left="39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A person who is registered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as the proprietor of a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hospital, herbal cultivation,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pharmacy, herbarium,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centre or Ayurveda store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 that he is not a registered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500" w:after="0"/>
        <w:ind w:left="2638" w:right="26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pharmacist, use,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of such Ayurveda hospital, herbal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cultivation, pharmacy herbarium,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centre or stores, any name, title, addition,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description which may be used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Ayurveda pharmacist, if-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08" w:after="0"/>
        <w:ind w:left="294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employs a registered Ayurveda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to personally superintend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manage the cultivation,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distribution, sale or manufacturing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medicines, drugs or poisons 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hospital, herbal cultivation,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herbarium, Ayurveda sale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or Ayurveda store,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be; and</w:t>
      </w:r>
    </w:p>
    <w:p>
      <w:pPr>
        <w:autoSpaceDN w:val="0"/>
        <w:tabs>
          <w:tab w:pos="3356" w:val="left"/>
          <w:tab w:pos="3358" w:val="left"/>
        </w:tabs>
        <w:autoSpaceDE w:val="0"/>
        <w:widowControl/>
        <w:spacing w:line="245" w:lineRule="auto" w:before="206" w:after="148"/>
        <w:ind w:left="294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pharmacist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has been notified in writing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Council.”.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72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“ayurvedic pharmacist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ayurvedic nurse” wherever those words appear in that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“Ayurveda pharmacist or Ayurveda nurse or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142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Ayurveda massage therapist”.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4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autoSpaceDE w:val="0"/>
        <w:widowControl/>
        <w:spacing w:line="245" w:lineRule="auto" w:before="208" w:after="0"/>
        <w:ind w:left="2516" w:right="2664" w:firstLine="1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Regulations may be made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an Ayurveda Code containing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provisions in respect of all such matters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empowered to make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may deem necessary to prohibit,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or control the manufacture, preparation,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importation, exportation, purchase, storage,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advertising, transportation, quality control, sale,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45" w:lineRule="auto" w:before="48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supply, distribution or dispensing of any article,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drug for the purpose of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and surgery. Such Code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generality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hereinbefore conferred, make provision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or any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4402" w:val="left"/>
          <w:tab w:pos="4404" w:val="left"/>
        </w:tabs>
        <w:autoSpaceDE w:val="0"/>
        <w:widowControl/>
        <w:spacing w:line="245" w:lineRule="auto" w:before="206" w:after="0"/>
        <w:ind w:left="398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of any article, substance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drug as a poison, poisonous substance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dangerous drug, as the case may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that purpose;</w:t>
      </w:r>
    </w:p>
    <w:p>
      <w:pPr>
        <w:autoSpaceDN w:val="0"/>
        <w:tabs>
          <w:tab w:pos="4402" w:val="left"/>
          <w:tab w:pos="4404" w:val="left"/>
          <w:tab w:pos="4974" w:val="left"/>
          <w:tab w:pos="6472" w:val="left"/>
        </w:tabs>
        <w:autoSpaceDE w:val="0"/>
        <w:widowControl/>
        <w:spacing w:line="245" w:lineRule="auto" w:before="206" w:after="0"/>
        <w:ind w:left="398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prohibition, regulation or control 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importation, exportation, purchasing,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storing, advertising, transportation,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control, sale, supply,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of any Ayurveda product;</w:t>
      </w:r>
    </w:p>
    <w:p>
      <w:pPr>
        <w:autoSpaceDN w:val="0"/>
        <w:tabs>
          <w:tab w:pos="4402" w:val="left"/>
          <w:tab w:pos="4404" w:val="left"/>
        </w:tabs>
        <w:autoSpaceDE w:val="0"/>
        <w:widowControl/>
        <w:spacing w:line="245" w:lineRule="auto" w:before="208" w:after="0"/>
        <w:ind w:left="39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registration and maintenance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herbal Garden for Research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Extension;</w:t>
      </w:r>
    </w:p>
    <w:p>
      <w:pPr>
        <w:autoSpaceDN w:val="0"/>
        <w:tabs>
          <w:tab w:pos="4402" w:val="left"/>
        </w:tabs>
        <w:autoSpaceDE w:val="0"/>
        <w:widowControl/>
        <w:spacing w:line="245" w:lineRule="auto" w:before="208" w:after="0"/>
        <w:ind w:left="398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registration of or issuance of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permits for any herbal cultivation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related activity,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transportation and storing of crop;</w:t>
      </w:r>
    </w:p>
    <w:p>
      <w:pPr>
        <w:autoSpaceDN w:val="0"/>
        <w:tabs>
          <w:tab w:pos="4402" w:val="left"/>
          <w:tab w:pos="4404" w:val="left"/>
        </w:tabs>
        <w:autoSpaceDE w:val="0"/>
        <w:widowControl/>
        <w:spacing w:line="245" w:lineRule="auto" w:before="206" w:after="0"/>
        <w:ind w:left="39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introduction and operation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of registration, licensing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issuance of permits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effecting such regulation or control,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including, but not limited to, the 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application for such registration,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licensing or issuance of permits,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refusal, suspension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cancellation of such registration, licence</w:t>
      </w:r>
    </w:p>
    <w:p>
      <w:pPr>
        <w:autoSpaceDN w:val="0"/>
        <w:autoSpaceDE w:val="0"/>
        <w:widowControl/>
        <w:spacing w:line="238" w:lineRule="auto" w:before="28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permit;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3058" w:val="left"/>
          <w:tab w:pos="4406" w:val="left"/>
          <w:tab w:pos="5514" w:val="left"/>
        </w:tabs>
        <w:autoSpaceDE w:val="0"/>
        <w:widowControl/>
        <w:spacing w:line="245" w:lineRule="auto" w:before="494" w:after="0"/>
        <w:ind w:left="26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precautions to be taken,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to be complied with,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herbal cultivation and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manufacture, preparation, importation,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advertising, transportation, quality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control, sale, supply, distribution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dispensing;</w:t>
      </w:r>
    </w:p>
    <w:p>
      <w:pPr>
        <w:autoSpaceDN w:val="0"/>
        <w:tabs>
          <w:tab w:pos="3056" w:val="left"/>
          <w:tab w:pos="4406" w:val="left"/>
          <w:tab w:pos="5514" w:val="left"/>
        </w:tabs>
        <w:autoSpaceDE w:val="0"/>
        <w:widowControl/>
        <w:spacing w:line="245" w:lineRule="auto" w:before="190" w:after="0"/>
        <w:ind w:left="26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books and records to be kept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maintained, and the returns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furnished, by persons engaged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herbal cultivation and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manufacture, preparation, importation,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advertising, transportation, quality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control, sale, supply, distribution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dispensing;</w:t>
      </w:r>
    </w:p>
    <w:p>
      <w:pPr>
        <w:autoSpaceDN w:val="0"/>
        <w:tabs>
          <w:tab w:pos="3056" w:val="left"/>
        </w:tabs>
        <w:autoSpaceDE w:val="0"/>
        <w:widowControl/>
        <w:spacing w:line="245" w:lineRule="auto" w:before="190" w:after="0"/>
        <w:ind w:left="264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inspection of the premises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herbal cultivation is carried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such manufacture, preparation,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importation, exportation, purchase,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storage, advertising, transportation,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control, sale, supply,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dispensing is carried on,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and books kept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that purpose;</w:t>
      </w:r>
    </w:p>
    <w:p>
      <w:pPr>
        <w:autoSpaceDN w:val="0"/>
        <w:tabs>
          <w:tab w:pos="3056" w:val="left"/>
        </w:tabs>
        <w:autoSpaceDE w:val="0"/>
        <w:widowControl/>
        <w:spacing w:line="245" w:lineRule="auto" w:before="192" w:after="0"/>
        <w:ind w:left="268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charging of fees, where necessary,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matter referred to 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section;</w:t>
      </w:r>
    </w:p>
    <w:p>
      <w:pPr>
        <w:autoSpaceDN w:val="0"/>
        <w:tabs>
          <w:tab w:pos="3056" w:val="left"/>
        </w:tabs>
        <w:autoSpaceDE w:val="0"/>
        <w:widowControl/>
        <w:spacing w:line="245" w:lineRule="auto" w:before="190" w:after="0"/>
        <w:ind w:left="268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of any medicinal plant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requires a licence or  permit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cultivation; and</w:t>
      </w:r>
    </w:p>
    <w:p>
      <w:pPr>
        <w:autoSpaceDN w:val="0"/>
        <w:tabs>
          <w:tab w:pos="3056" w:val="left"/>
        </w:tabs>
        <w:autoSpaceDE w:val="0"/>
        <w:widowControl/>
        <w:spacing w:line="245" w:lineRule="auto" w:before="190" w:after="0"/>
        <w:ind w:left="26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 incidental 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the matters aforesaid.”;</w:t>
      </w:r>
    </w:p>
    <w:p>
      <w:pPr>
        <w:autoSpaceDN w:val="0"/>
        <w:autoSpaceDE w:val="0"/>
        <w:widowControl/>
        <w:spacing w:line="245" w:lineRule="auto" w:before="190" w:after="0"/>
        <w:ind w:left="2156" w:right="2736" w:hanging="35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“the Prime Minister.” of the words “the</w:t>
      </w:r>
    </w:p>
    <w:p>
      <w:pPr>
        <w:autoSpaceDN w:val="0"/>
        <w:autoSpaceDE w:val="0"/>
        <w:widowControl/>
        <w:spacing w:line="238" w:lineRule="auto" w:before="2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President.”.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0" w:after="0"/>
              <w:ind w:left="6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101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282" w:right="71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hospital, any registered ayurvedic pharmacy,”,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7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wherever those words appear in that section,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hospital, any registered Ayurveda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any Ayurveda drug manufactory, any herbal </w:t>
      </w:r>
      <w:r>
        <w:rPr>
          <w:rFonts w:ascii="Times" w:hAnsi="Times" w:eastAsia="Times"/>
          <w:b w:val="0"/>
          <w:i w:val="0"/>
          <w:color w:val="221F1F"/>
          <w:sz w:val="20"/>
        </w:rPr>
        <w:t>cultivation,”.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4" w:after="0"/>
              <w:ind w:left="2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2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penalties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80.  (1) Any person who –</w:t>
            </w:r>
          </w:p>
        </w:tc>
      </w:tr>
    </w:tbl>
    <w:p>
      <w:pPr>
        <w:autoSpaceDN w:val="0"/>
        <w:autoSpaceDE w:val="0"/>
        <w:widowControl/>
        <w:spacing w:line="264" w:lineRule="auto" w:before="36" w:after="0"/>
        <w:ind w:left="4602" w:right="1436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resists or obstructs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in that behalf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the exercise by such person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 conferred on him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9" w:lineRule="auto" w:before="230" w:after="0"/>
        <w:ind w:left="4602" w:right="1436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reasonable cause,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requirements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 issued under this Act;</w:t>
      </w:r>
    </w:p>
    <w:p>
      <w:pPr>
        <w:autoSpaceDN w:val="0"/>
        <w:autoSpaceDE w:val="0"/>
        <w:widowControl/>
        <w:spacing w:line="259" w:lineRule="auto" w:before="234" w:after="0"/>
        <w:ind w:left="460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knowingly makes any false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return or information furnished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him under this Act; or</w:t>
      </w:r>
    </w:p>
    <w:p>
      <w:pPr>
        <w:autoSpaceDN w:val="0"/>
        <w:autoSpaceDE w:val="0"/>
        <w:widowControl/>
        <w:spacing w:line="264" w:lineRule="auto" w:before="234" w:after="0"/>
        <w:ind w:left="4602" w:right="1436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willfully omits any material fact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return or information furnished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under this Act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is required to furnish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</w:p>
    <w:p>
      <w:pPr>
        <w:autoSpaceDN w:val="0"/>
        <w:autoSpaceDE w:val="0"/>
        <w:widowControl/>
        <w:spacing w:line="262" w:lineRule="auto" w:before="234" w:after="0"/>
        <w:ind w:left="38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on conviction after summary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to a fine of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  or to imprisonment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7" w:lineRule="auto" w:before="494" w:after="0"/>
        <w:ind w:left="2448" w:right="26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description, for a term not exceeding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 or to both such fine and imprisonment.</w:t>
      </w:r>
    </w:p>
    <w:p>
      <w:pPr>
        <w:autoSpaceDN w:val="0"/>
        <w:autoSpaceDE w:val="0"/>
        <w:widowControl/>
        <w:spacing w:line="250" w:lineRule="auto" w:before="212" w:after="0"/>
        <w:ind w:left="2498" w:right="26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regulation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thereunder, while practicing Ayurveda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a licence issued under this 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of not exceeding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description, for a term not exceeding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or to both such fine and imprisonment.</w:t>
      </w:r>
    </w:p>
    <w:p>
      <w:pPr>
        <w:autoSpaceDN w:val="0"/>
        <w:autoSpaceDE w:val="0"/>
        <w:widowControl/>
        <w:spacing w:line="247" w:lineRule="auto" w:before="216" w:after="0"/>
        <w:ind w:left="2498" w:right="26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commits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79 of this Act, shall be liable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 not exceeding  one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description, for a term not exceeding one year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both such fine and imprisonment.</w:t>
      </w:r>
    </w:p>
    <w:p>
      <w:pPr>
        <w:autoSpaceDN w:val="0"/>
        <w:autoSpaceDE w:val="0"/>
        <w:widowControl/>
        <w:spacing w:line="238" w:lineRule="auto" w:before="21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Any person who-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12" w:after="0"/>
        <w:ind w:left="282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 out any activity without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permit for which a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permit is required under this Act; or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16" w:after="0"/>
        <w:ind w:left="282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fraudulently displays a logo or a 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sign indicating that a premises,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an article, a drug,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an Ayurveda product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valid licence issued under this Act,</w:t>
      </w:r>
    </w:p>
    <w:p>
      <w:pPr>
        <w:autoSpaceDN w:val="0"/>
        <w:autoSpaceDE w:val="0"/>
        <w:widowControl/>
        <w:spacing w:line="250" w:lineRule="auto" w:before="212" w:after="0"/>
        <w:ind w:left="2518" w:right="26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after summary trial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Magistrate, to a fine not exceeding two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one year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52" w:lineRule="auto" w:before="482" w:after="0"/>
        <w:ind w:left="384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acts in contravention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provision of this Act, (other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referred to in subsections (1), (2),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this section) or any requirements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any such provision,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the Act, shall be guilty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under this Act and shall,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Magistrate, be liable –</w:t>
      </w:r>
    </w:p>
    <w:p>
      <w:pPr>
        <w:autoSpaceDN w:val="0"/>
        <w:tabs>
          <w:tab w:pos="4584" w:val="left"/>
        </w:tabs>
        <w:autoSpaceDE w:val="0"/>
        <w:widowControl/>
        <w:spacing w:line="252" w:lineRule="auto" w:before="214" w:after="0"/>
        <w:ind w:left="41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person is not a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to a fine not less than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thousand and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fifty thousand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not exceeding one year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such fine and imprisonment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of a first offence, and to a fine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rupees ten thousand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rupees one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or to an imprisonment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term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two years or to both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in the case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subsequent offence ; and</w:t>
      </w:r>
    </w:p>
    <w:p>
      <w:pPr>
        <w:autoSpaceDN w:val="0"/>
        <w:tabs>
          <w:tab w:pos="4584" w:val="left"/>
        </w:tabs>
        <w:autoSpaceDE w:val="0"/>
        <w:widowControl/>
        <w:spacing w:line="250" w:lineRule="auto" w:before="214" w:after="154"/>
        <w:ind w:left="41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person is a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rupees fifty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and not exceeding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in the case of a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and to a fine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one hundred thousand and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rupees two million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 a subsequent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4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“pharmacy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nursing,” of the words “ayurveda drug manufacturing,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nursing or Ayurveda massage therapy,”.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9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0" w:after="0"/>
              <w:ind w:left="13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4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252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215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“Ayurveda”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66" w:lineRule="auto" w:before="232" w:after="0"/>
        <w:ind w:left="3058" w:right="266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“Ayurveda” includes the Ayurveda, Siddha, Unani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 Desiya Chikitsa systems of medicine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surgery and any other system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indigenous to Asian countries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recognized as such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Governments of such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countries;”;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9" w:lineRule="auto" w:before="232" w:after="0"/>
        <w:ind w:left="174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“ayurveda pharmacy”,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definition: -</w:t>
      </w:r>
    </w:p>
    <w:p>
      <w:pPr>
        <w:autoSpaceDN w:val="0"/>
        <w:autoSpaceDE w:val="0"/>
        <w:widowControl/>
        <w:spacing w:line="266" w:lineRule="auto" w:before="230" w:after="0"/>
        <w:ind w:left="2998" w:right="266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“Ayurveda Product” means any Ayurveda article,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drug which is manufactured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refined for sale, and includes any locally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manufactured or imported medicinal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extract or fraction, a health supplement,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food supplement, a cosmeceutical,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device;”;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9" w:lineRule="auto" w:before="234" w:after="0"/>
        <w:ind w:left="174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“dispensary”, the following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autoSpaceDE w:val="0"/>
        <w:widowControl/>
        <w:spacing w:line="266" w:lineRule="auto" w:before="230" w:after="0"/>
        <w:ind w:left="2998" w:right="266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“Eastern University of Sri Lanka”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 of Sri Lanka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Order made under section 21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Universities Act, No.16 of 1978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420/25 of September 26, 1986;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266" w:lineRule="exact" w:before="0" w:after="0"/>
        <w:ind w:left="26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19 of 2023</w:t>
      </w:r>
    </w:p>
    <w:p>
      <w:pPr>
        <w:autoSpaceDN w:val="0"/>
        <w:autoSpaceDE w:val="0"/>
        <w:widowControl/>
        <w:spacing w:line="286" w:lineRule="auto" w:before="520" w:after="0"/>
        <w:ind w:left="4226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Colombo, Sri Lanka”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Colombo, Sri Lanka established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made under the Universities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No.16 of 1978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Extraordinary No. 2319/22 of February 13,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2023;</w:t>
      </w:r>
    </w:p>
    <w:p>
      <w:pPr>
        <w:autoSpaceDN w:val="0"/>
        <w:autoSpaceDE w:val="0"/>
        <w:widowControl/>
        <w:spacing w:line="283" w:lineRule="auto" w:before="254" w:after="0"/>
        <w:ind w:left="4226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“Gampaha Wickramarachchi University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the Gampaha Wickramarachchi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established by Order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Universities Act, No.16 of 1978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No.</w:t>
      </w:r>
    </w:p>
    <w:p>
      <w:pPr>
        <w:autoSpaceDN w:val="0"/>
        <w:autoSpaceDE w:val="0"/>
        <w:widowControl/>
        <w:spacing w:line="238" w:lineRule="auto" w:before="54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2199/12 of October 28, 2020;</w:t>
      </w:r>
    </w:p>
    <w:p>
      <w:pPr>
        <w:autoSpaceDN w:val="0"/>
        <w:autoSpaceDE w:val="0"/>
        <w:widowControl/>
        <w:spacing w:line="283" w:lineRule="auto" w:before="252" w:after="0"/>
        <w:ind w:left="4226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“Herbal Cultivation” means the cultivation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medicinal plants for Ayurveda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prescribed in the Ayurveda Code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crop harvest or residual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growth used for any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purposes;</w:t>
      </w:r>
    </w:p>
    <w:p>
      <w:pPr>
        <w:autoSpaceDN w:val="0"/>
        <w:autoSpaceDE w:val="0"/>
        <w:widowControl/>
        <w:spacing w:line="288" w:lineRule="auto" w:before="254" w:after="0"/>
        <w:ind w:left="4226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“Herbal  Gardens for Research  and Extension”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 a dedicated space devoted to grow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medicinal plants for research purposes,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by the Department of Ayurveda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registered for such purposes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Act;”;</w:t>
      </w:r>
    </w:p>
    <w:p>
      <w:pPr>
        <w:autoSpaceDN w:val="0"/>
        <w:tabs>
          <w:tab w:pos="3384" w:val="left"/>
          <w:tab w:pos="3386" w:val="left"/>
        </w:tabs>
        <w:autoSpaceDE w:val="0"/>
        <w:widowControl/>
        <w:spacing w:line="288" w:lineRule="auto" w:before="272" w:after="0"/>
        <w:ind w:left="29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“Hospital of Indigenous Medicine”,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8" w:lineRule="exact" w:before="0" w:after="0"/>
        <w:ind w:left="20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Ayurveda (Amendment)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19 of 2023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2" w:lineRule="auto" w:before="484" w:after="0"/>
        <w:ind w:left="2998" w:right="2782" w:hanging="8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“Medicinal plant” means any plant which, in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its organs, contain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can be used for thereputic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which are precursors for the synthesis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useful drugs;</w:t>
      </w:r>
    </w:p>
    <w:p>
      <w:pPr>
        <w:autoSpaceDN w:val="0"/>
        <w:autoSpaceDE w:val="0"/>
        <w:widowControl/>
        <w:spacing w:line="250" w:lineRule="auto" w:before="220" w:after="0"/>
        <w:ind w:left="2998" w:right="2782" w:hanging="8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Ayurveda under Article 44 or 45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Constitution;</w:t>
      </w:r>
    </w:p>
    <w:p>
      <w:pPr>
        <w:autoSpaceDN w:val="0"/>
        <w:autoSpaceDE w:val="0"/>
        <w:widowControl/>
        <w:spacing w:line="250" w:lineRule="auto" w:before="218" w:after="10"/>
        <w:ind w:left="2998" w:right="2782" w:hanging="82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“Primary Health Care” means a whole-of-society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approach to health that aims at ensuring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highest possible level of health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well-being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their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equitable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99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by focusing on people's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needs and as early as possible along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continuum from health promotion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disease prevention to treatment,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and palliative care, and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 as feasible to people's everyday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environment;”;</w:t>
      </w:r>
    </w:p>
    <w:p>
      <w:pPr>
        <w:autoSpaceDN w:val="0"/>
        <w:autoSpaceDE w:val="0"/>
        <w:widowControl/>
        <w:spacing w:line="250" w:lineRule="auto" w:before="218" w:after="0"/>
        <w:ind w:left="2158" w:right="2782" w:hanging="39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by the repeal of the definition of the expression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practitioners”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autoSpaceDE w:val="0"/>
        <w:widowControl/>
        <w:spacing w:line="254" w:lineRule="auto" w:before="220" w:after="10"/>
        <w:ind w:left="2998" w:right="2782" w:hanging="8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“register of Ayurveda practitioners”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register, or the Special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Ayurveda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under this Act for the registration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Ayurveda practitioners, and includes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register which is deemed to be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9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 or a Special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practitioners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(3) of section 51;”;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338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“registered ayurvedic practitioner”,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definitions:-</w:t>
      </w:r>
    </w:p>
    <w:p>
      <w:pPr>
        <w:autoSpaceDN w:val="0"/>
        <w:autoSpaceDE w:val="0"/>
        <w:widowControl/>
        <w:spacing w:line="276" w:lineRule="auto" w:before="252" w:after="0"/>
        <w:ind w:left="4220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“Registered Ayurveda  massage therapist”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registered as an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massage therapist  under this Act;</w:t>
      </w:r>
    </w:p>
    <w:p>
      <w:pPr>
        <w:autoSpaceDN w:val="0"/>
        <w:autoSpaceDE w:val="0"/>
        <w:widowControl/>
        <w:spacing w:line="281" w:lineRule="auto" w:before="252" w:after="0"/>
        <w:ind w:left="4220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 massage therapist”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maintained by the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 for the registration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massage therapist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78" w:lineRule="auto" w:before="252" w:after="0"/>
        <w:ind w:left="4220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Colombo, Sri Lanka”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139 of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No.16 of 1978;</w:t>
      </w:r>
    </w:p>
    <w:p>
      <w:pPr>
        <w:autoSpaceDN w:val="0"/>
        <w:autoSpaceDE w:val="0"/>
        <w:widowControl/>
        <w:spacing w:line="278" w:lineRule="auto" w:before="252" w:after="192"/>
        <w:ind w:left="4220" w:right="143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Jaffna, Sri Lanka”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139 of  the Universities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No.16 of 1978;”.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280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affect or be deemed to</w:t>
            </w:r>
          </w:p>
        </w:tc>
      </w:tr>
    </w:tbl>
    <w:p>
      <w:pPr>
        <w:autoSpaceDN w:val="0"/>
        <w:autoSpaceDE w:val="0"/>
        <w:widowControl/>
        <w:spacing w:line="274" w:lineRule="auto" w:before="26" w:after="190"/>
        <w:ind w:left="266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affected any act previously done or any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made under the principal enactment prior to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264" w:lineRule="auto" w:before="64" w:after="0"/>
              <w:ind w:left="160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2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568"/>
        </w:trPr>
        <w:tc>
          <w:tcPr>
            <w:tcW w:type="dxa" w:w="43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Ayurveda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19 of 2023</w:t>
            </w:r>
          </w:p>
        </w:tc>
        <w:tc>
          <w:tcPr>
            <w:tcW w:type="dxa" w:w="18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45" w:lineRule="auto" w:before="2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58" w:space="0"/>
            <w:col w:w="3062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958" w:space="0"/>
        <w:col w:w="3062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