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0" w:right="233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ELECTIONS (SPECIAL PROVISIONS)</w:t>
      </w:r>
    </w:p>
    <w:p>
      <w:pPr>
        <w:autoSpaceDN w:val="0"/>
        <w:autoSpaceDE w:val="0"/>
        <w:widowControl/>
        <w:spacing w:line="238" w:lineRule="auto" w:before="16" w:after="0"/>
        <w:ind w:left="0" w:right="33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ACT, No. 21 OF 2023</w:t>
      </w:r>
    </w:p>
    <w:p>
      <w:pPr>
        <w:autoSpaceDN w:val="0"/>
        <w:autoSpaceDE w:val="0"/>
        <w:widowControl/>
        <w:spacing w:line="235" w:lineRule="auto" w:before="972" w:after="0"/>
        <w:ind w:left="0" w:right="29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17th of  October, 2023]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20, 2023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3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Elections (Special Provisions)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7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21 of 2023</w:t>
      </w:r>
    </w:p>
    <w:p>
      <w:pPr>
        <w:autoSpaceDN w:val="0"/>
        <w:autoSpaceDE w:val="0"/>
        <w:widowControl/>
        <w:spacing w:line="238" w:lineRule="auto" w:before="262" w:after="0"/>
        <w:ind w:left="0" w:right="36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October, 2023]</w:t>
      </w:r>
    </w:p>
    <w:p>
      <w:pPr>
        <w:autoSpaceDN w:val="0"/>
        <w:autoSpaceDE w:val="0"/>
        <w:widowControl/>
        <w:spacing w:line="238" w:lineRule="auto" w:before="24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9/2023</w:t>
      </w:r>
    </w:p>
    <w:p>
      <w:pPr>
        <w:autoSpaceDN w:val="0"/>
        <w:autoSpaceDE w:val="0"/>
        <w:widowControl/>
        <w:spacing w:line="245" w:lineRule="auto" w:before="236" w:after="0"/>
        <w:ind w:left="1696" w:right="276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EXTENTION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TIME</w:t>
      </w:r>
      <w:r>
        <w:rPr>
          <w:rFonts w:ascii="Times" w:hAnsi="Times" w:eastAsia="Times"/>
          <w:b w:val="0"/>
          <w:i w:val="0"/>
          <w:color w:val="221F1F"/>
          <w:sz w:val="14"/>
        </w:rPr>
        <w:t>PERIOD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14"/>
        </w:rPr>
        <w:t>PRESENTATION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AN</w:t>
      </w:r>
      <w:r>
        <w:rPr>
          <w:rFonts w:ascii="Times" w:hAnsi="Times" w:eastAsia="Times"/>
          <w:b w:val="0"/>
          <w:i w:val="0"/>
          <w:color w:val="221F1F"/>
          <w:sz w:val="14"/>
        </w:rPr>
        <w:t>ELECTION</w:t>
      </w:r>
      <w:r>
        <w:rPr>
          <w:rFonts w:ascii="Times" w:hAnsi="Times" w:eastAsia="Times"/>
          <w:b w:val="0"/>
          <w:i w:val="0"/>
          <w:color w:val="221F1F"/>
          <w:sz w:val="14"/>
        </w:rPr>
        <w:t>PETITION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INCREASE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FINES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OCAL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262),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PARLIAMENTARY</w:t>
      </w:r>
      <w:r>
        <w:rPr>
          <w:rFonts w:ascii="Times" w:hAnsi="Times" w:eastAsia="Times"/>
          <w:b w:val="0"/>
          <w:i w:val="0"/>
          <w:color w:val="221F1F"/>
          <w:sz w:val="14"/>
        </w:rPr>
        <w:t>ELECTIONS</w:t>
      </w:r>
      <w:r>
        <w:rPr>
          <w:rFonts w:ascii="Times" w:hAnsi="Times" w:eastAsia="Times"/>
          <w:b w:val="0"/>
          <w:i w:val="0"/>
          <w:color w:val="221F1F"/>
          <w:sz w:val="14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1981,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RESIDENTIAL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ROVINCIAL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1988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</w:p>
    <w:p>
      <w:pPr>
        <w:autoSpaceDN w:val="0"/>
        <w:autoSpaceDE w:val="0"/>
        <w:widowControl/>
        <w:spacing w:line="250" w:lineRule="auto" w:before="58" w:after="0"/>
        <w:ind w:left="16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INCIDENTIAL 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5" w:lineRule="auto" w:before="23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6496" w:val="left"/>
        </w:tabs>
        <w:autoSpaceDE w:val="0"/>
        <w:widowControl/>
        <w:spacing w:line="235" w:lineRule="auto" w:before="236" w:after="0"/>
        <w:ind w:left="169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may be cited as the Elections (Special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</w:t>
      </w:r>
    </w:p>
    <w:p>
      <w:pPr>
        <w:autoSpaceDN w:val="0"/>
        <w:autoSpaceDE w:val="0"/>
        <w:widowControl/>
        <w:spacing w:line="238" w:lineRule="auto" w:before="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Provisions) Act, No. 21 of 2023.</w:t>
      </w:r>
    </w:p>
    <w:p>
      <w:pPr>
        <w:autoSpaceDN w:val="0"/>
        <w:autoSpaceDE w:val="0"/>
        <w:widowControl/>
        <w:spacing w:line="235" w:lineRule="auto" w:before="236" w:after="0"/>
        <w:ind w:left="0" w:right="48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45" w:lineRule="auto" w:before="236" w:after="176"/>
        <w:ind w:left="144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OCAL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262)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1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Local Authorities Elections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Ordinance (Chapter 262) (hereinafter in this Part referred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the “principal enactment”) specified in Column I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First Schedule hereto, are hereby amended by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specified in the corresponding entry in Column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6" w:right="7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sections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Chapter 262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specified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First Schedule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II, of the words specified in the corresponding entry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III of that Schedule for the purpose of increase of </w:t>
      </w:r>
      <w:r>
        <w:rPr>
          <w:rFonts w:ascii="Times" w:hAnsi="Times" w:eastAsia="Times"/>
          <w:b w:val="0"/>
          <w:i w:val="0"/>
          <w:color w:val="221F1F"/>
          <w:sz w:val="20"/>
        </w:rPr>
        <w:t>fines specified in such sections.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8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as last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Act, No. 1 of 2002 is hereby further amended in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thereof, by the substitution for the words “within twenty-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days of the date of publication of the result of the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:”, of the words “within forty-two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days of the date of publication of the result of the election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:”.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54" w:val="left"/>
          <w:tab w:pos="4396" w:val="left"/>
        </w:tabs>
        <w:autoSpaceDE w:val="0"/>
        <w:widowControl/>
        <w:spacing w:line="245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Elections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21 of 2023</w:t>
      </w:r>
    </w:p>
    <w:p>
      <w:pPr>
        <w:autoSpaceDN w:val="0"/>
        <w:autoSpaceDE w:val="0"/>
        <w:widowControl/>
        <w:spacing w:line="235" w:lineRule="auto" w:before="278" w:after="0"/>
        <w:ind w:left="0" w:right="34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62" w:lineRule="auto" w:before="326" w:after="266"/>
        <w:ind w:left="3456" w:right="201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ARLIAMENTARY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43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sections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 Act, No. 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1981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specified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202" w:right="69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Parliamentary Elections Act, No. 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1981 (hereinafter in this Part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enactment”)  specified in Column I of the Second Schedule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hereto, are hereby amended by the substitution for the words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corresponding entry in Column II, of the</w:t>
            </w:r>
          </w:p>
        </w:tc>
      </w:tr>
    </w:tbl>
    <w:p>
      <w:pPr>
        <w:autoSpaceDN w:val="0"/>
        <w:autoSpaceDE w:val="0"/>
        <w:widowControl/>
        <w:spacing w:line="271" w:lineRule="auto" w:before="10" w:after="266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specified in the corresponding entry in Column III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for the purpose of increase of fines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in such sections.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7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108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202" w:right="69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108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“within twenty-one days of the date of publication</w:t>
            </w:r>
          </w:p>
        </w:tc>
      </w:tr>
    </w:tbl>
    <w:p>
      <w:pPr>
        <w:autoSpaceDN w:val="0"/>
        <w:autoSpaceDE w:val="0"/>
        <w:widowControl/>
        <w:spacing w:line="271" w:lineRule="auto" w:before="18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result of the election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:”,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“within forty-two days of the date of publication of the result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election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:”.</w:t>
      </w:r>
    </w:p>
    <w:p>
      <w:pPr>
        <w:autoSpaceDN w:val="0"/>
        <w:autoSpaceDE w:val="0"/>
        <w:widowControl/>
        <w:spacing w:line="235" w:lineRule="auto" w:before="326" w:after="0"/>
        <w:ind w:left="0" w:right="34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62" w:lineRule="auto" w:before="326" w:after="266"/>
        <w:ind w:left="3456" w:right="216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RESIDENTIAL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41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sections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 Act, No. 15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1981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specified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Third Schedule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202" w:right="698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Presidential Elections Act, No. 15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1981 (hereinafter in this Part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enactment”) specified in Column I of the Third Schedule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hereto, are hereby amended by the substitution for the words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corresponding entry in Column II, of the</w:t>
            </w:r>
          </w:p>
        </w:tc>
      </w:tr>
    </w:tbl>
    <w:p>
      <w:pPr>
        <w:autoSpaceDN w:val="0"/>
        <w:autoSpaceDE w:val="0"/>
        <w:widowControl/>
        <w:spacing w:line="271" w:lineRule="auto" w:before="24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specified in the corresponding entry in Column III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for the purpose of increase of fines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in such sections.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  <w:tab w:pos="6152" w:val="left"/>
        </w:tabs>
        <w:autoSpaceDE w:val="0"/>
        <w:widowControl/>
        <w:spacing w:line="245" w:lineRule="auto" w:before="0" w:after="236"/>
        <w:ind w:left="262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Elections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21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3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0" w:after="0"/>
              <w:ind w:left="736" w:right="104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102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“within twenty-one days of the date of publication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102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90" w:lineRule="auto" w:before="38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result of the election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:”,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“within forty-two days of the date of publication of the result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election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:”.</w:t>
      </w:r>
    </w:p>
    <w:p>
      <w:pPr>
        <w:autoSpaceDN w:val="0"/>
        <w:autoSpaceDE w:val="0"/>
        <w:widowControl/>
        <w:spacing w:line="238" w:lineRule="auto" w:before="380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76" w:lineRule="auto" w:before="382" w:after="322"/>
        <w:ind w:left="1872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ROVINCIAL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4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736" w:right="102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Provincial Councils Elections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2 of 1988 (hereinafter in this Part referred to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“principal enactment”)  specified in Column I of the Fourth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hereto, are hereby amended by the substitution for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sections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 Act, No. 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1988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specified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Fourth Schedule</w:t>
            </w:r>
          </w:p>
        </w:tc>
      </w:tr>
    </w:tbl>
    <w:p>
      <w:pPr>
        <w:autoSpaceDN w:val="0"/>
        <w:autoSpaceDE w:val="0"/>
        <w:widowControl/>
        <w:spacing w:line="298" w:lineRule="auto" w:before="26" w:after="322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specified in the corresponding entry in Column II,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specified in the corresponding entry in Column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III of that Schedule for the purpose of increase of fines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sections.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3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0" w:after="0"/>
              <w:ind w:left="736" w:right="104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108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“within twenty-one days of the date of publication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108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90" w:lineRule="auto" w:before="38" w:after="32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result of the election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:”,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“within forty-two days of the date of publication of the result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election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:”.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8" w:val="left"/>
              </w:tabs>
              <w:autoSpaceDE w:val="0"/>
              <w:widowControl/>
              <w:spacing w:line="278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36" w:right="67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54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Elections (Special Provisions)</w:t>
      </w:r>
    </w:p>
    <w:p>
      <w:pPr>
        <w:autoSpaceDN w:val="0"/>
        <w:autoSpaceDE w:val="0"/>
        <w:widowControl/>
        <w:spacing w:line="235" w:lineRule="auto" w:before="14" w:after="0"/>
        <w:ind w:left="0" w:right="3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21 of 2023</w:t>
      </w:r>
    </w:p>
    <w:p>
      <w:pPr>
        <w:autoSpaceDN w:val="0"/>
        <w:tabs>
          <w:tab w:pos="6714" w:val="left"/>
        </w:tabs>
        <w:autoSpaceDE w:val="0"/>
        <w:widowControl/>
        <w:spacing w:line="336" w:lineRule="auto" w:before="328" w:after="100"/>
        <w:ind w:left="42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FIRST SCHEDULE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(Section 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48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54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Sections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Amended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4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Repeal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1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Insert</w:t>
            </w:r>
          </w:p>
        </w:tc>
      </w:tr>
      <w:tr>
        <w:trPr>
          <w:trHeight w:hRule="exact" w:val="438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16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18(6)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2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(3)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78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(3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6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(1)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0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0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52(2)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56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(4)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8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0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78(1)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6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(3)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8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(2)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58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8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0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8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8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(2)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76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twenty-five thousand rupees</w:t>
            </w:r>
          </w:p>
        </w:tc>
      </w:tr>
      <w:tr>
        <w:trPr>
          <w:trHeight w:hRule="exact" w:val="48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  <w:tc>
          <w:tcPr>
            <w:tcW w:type="dxa" w:w="167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35" w:lineRule="auto" w:before="0" w:after="0"/>
        <w:ind w:left="26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Elections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14" w:after="196"/>
        <w:ind w:left="0" w:right="437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21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374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 SCHEDULE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4)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6.0000000000002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548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Sections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Amended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3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Repeal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10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Insert</w:t>
            </w:r>
          </w:p>
        </w:tc>
      </w:tr>
      <w:tr>
        <w:trPr>
          <w:trHeight w:hRule="exact" w:val="420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7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1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46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27(3)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7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27(4)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0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43(3)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56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67(2)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434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90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68(2)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3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96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3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34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73(3)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18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74(2)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27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36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76(6)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4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56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70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60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121(2)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twenty-five thousand rupees</w:t>
            </w:r>
          </w:p>
        </w:tc>
      </w:tr>
      <w:tr>
        <w:trPr>
          <w:trHeight w:hRule="exact" w:val="32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122(2)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54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Elections (Special Provisions)</w:t>
      </w:r>
    </w:p>
    <w:p>
      <w:pPr>
        <w:autoSpaceDN w:val="0"/>
        <w:autoSpaceDE w:val="0"/>
        <w:widowControl/>
        <w:spacing w:line="235" w:lineRule="auto" w:before="14" w:after="196"/>
        <w:ind w:left="0" w:right="3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21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60.0" w:type="dxa"/>
      </w:tblPr>
      <w:tblGrid>
        <w:gridCol w:w="4510"/>
        <w:gridCol w:w="4510"/>
      </w:tblGrid>
      <w:tr>
        <w:trPr>
          <w:trHeight w:hRule="exact" w:val="382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THIRD SCHEDULE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6)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62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3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540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38" w:right="0" w:hanging="2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Sections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Amended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Repeal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1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Insert</w:t>
            </w:r>
          </w:p>
        </w:tc>
      </w:tr>
      <w:tr>
        <w:trPr>
          <w:trHeight w:hRule="exact" w:val="300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18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23(1)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20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24(3)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76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24(4)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60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41(3)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00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67(2)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400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68(1)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56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68(2)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80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00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96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80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73(3)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58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74(2)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00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75(6)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8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 (1)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80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81(1)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80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86(1)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thousand rupees</w:t>
            </w:r>
          </w:p>
        </w:tc>
      </w:tr>
      <w:tr>
        <w:trPr>
          <w:trHeight w:hRule="exact" w:val="378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87(1)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thousand rupees</w:t>
            </w:r>
          </w:p>
        </w:tc>
      </w:tr>
      <w:tr>
        <w:trPr>
          <w:trHeight w:hRule="exact" w:val="434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109(2)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twenty-five thousand rupees</w:t>
            </w:r>
          </w:p>
        </w:tc>
      </w:tr>
      <w:tr>
        <w:trPr>
          <w:trHeight w:hRule="exact" w:val="440"/>
        </w:trPr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110(2)</w:t>
            </w:r>
          </w:p>
        </w:tc>
        <w:tc>
          <w:tcPr>
            <w:tcW w:type="dxa" w:w="163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1790700</wp:posOffset>
            </wp:positionH>
            <wp:positionV relativeFrom="page">
              <wp:posOffset>2781300</wp:posOffset>
            </wp:positionV>
            <wp:extent cx="3124200" cy="58293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829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152" w:val="left"/>
        </w:tabs>
        <w:autoSpaceDE w:val="0"/>
        <w:widowControl/>
        <w:spacing w:line="235" w:lineRule="auto" w:before="0" w:after="0"/>
        <w:ind w:left="26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Elections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14" w:after="196"/>
        <w:ind w:left="0" w:right="437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21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3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3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2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FOURTH  SCHEDULE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8)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9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3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Sections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6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Repeal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Insert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42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 Amended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4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24(1)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25(3)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4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25(4)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41(3)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64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4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67(2)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68(1)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4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68(2)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4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73(3)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4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74(2)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75(1)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76(3)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4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77(6)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82(1)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4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83(1)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88(1)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89(1)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4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123(2)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24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17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item 9(4)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2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Elections (Special Provisions)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21 of 2023</w:t>
      </w:r>
    </w:p>
    <w:p>
      <w:pPr>
        <w:autoSpaceDN w:val="0"/>
        <w:autoSpaceDE w:val="0"/>
        <w:widowControl/>
        <w:spacing w:line="245" w:lineRule="auto" w:before="8932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