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718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CONFERRING THE HONOUR OF SENIOR </w:t>
      </w:r>
      <w:r>
        <w:rPr>
          <w:rFonts w:ascii="Times,Bold" w:hAnsi="Times,Bold" w:eastAsia="Times,Bold"/>
          <w:b/>
          <w:i w:val="0"/>
          <w:color w:val="221F1F"/>
          <w:sz w:val="24"/>
        </w:rPr>
        <w:t>INSTRUCTING ATTORNEYS-AT-LAW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 ACT, No. 26 OF 2023</w:t>
      </w:r>
    </w:p>
    <w:p>
      <w:pPr>
        <w:autoSpaceDN w:val="0"/>
        <w:autoSpaceDE w:val="0"/>
        <w:widowControl/>
        <w:spacing w:line="235" w:lineRule="auto" w:before="784" w:after="0"/>
        <w:ind w:left="0" w:right="28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 November,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5" w:lineRule="auto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 03, 2023</w:t>
      </w:r>
    </w:p>
    <w:p>
      <w:pPr>
        <w:autoSpaceDN w:val="0"/>
        <w:autoSpaceDE w:val="0"/>
        <w:widowControl/>
        <w:spacing w:line="245" w:lineRule="auto" w:before="406" w:after="152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8" w:lineRule="auto" w:before="306" w:after="0"/>
        <w:ind w:left="15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WS 6</w:t>
      </w:r>
    </w:p>
    <w:p>
      <w:pPr>
        <w:autoSpaceDN w:val="0"/>
        <w:autoSpaceDE w:val="0"/>
        <w:widowControl/>
        <w:spacing w:line="238" w:lineRule="auto" w:before="252" w:after="702"/>
        <w:ind w:left="15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PL 13965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Conferring the Honour of Senior Instructing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5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Attorneys-at-Law Act, No. 26 of 2023</w:t>
      </w:r>
    </w:p>
    <w:p>
      <w:pPr>
        <w:autoSpaceDN w:val="0"/>
        <w:autoSpaceDE w:val="0"/>
        <w:widowControl/>
        <w:spacing w:line="238" w:lineRule="auto" w:before="208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01st of November, 2023]</w:t>
      </w:r>
    </w:p>
    <w:p>
      <w:pPr>
        <w:autoSpaceDN w:val="0"/>
        <w:autoSpaceDE w:val="0"/>
        <w:widowControl/>
        <w:spacing w:line="238" w:lineRule="auto" w:before="2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13/2023</w:t>
      </w:r>
    </w:p>
    <w:p>
      <w:pPr>
        <w:autoSpaceDN w:val="0"/>
        <w:autoSpaceDE w:val="0"/>
        <w:widowControl/>
        <w:spacing w:line="245" w:lineRule="auto" w:before="240" w:after="0"/>
        <w:ind w:left="1678" w:right="27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ONFERMENT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ONOUR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ENIOR </w:t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NSTRUCTING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TTORNEYS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-L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VIEW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RECOGNIZING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APPRECIATING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RENDERED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TTORNEYS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-L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AW </w:t>
      </w:r>
      <w:r>
        <w:rPr>
          <w:rFonts w:ascii="Times" w:hAnsi="Times" w:eastAsia="Times"/>
          <w:b w:val="0"/>
          <w:i w:val="0"/>
          <w:color w:val="221F1F"/>
          <w:sz w:val="14"/>
        </w:rPr>
        <w:t>PRACTICING</w:t>
      </w:r>
      <w:r>
        <w:rPr>
          <w:rFonts w:ascii="Times" w:hAnsi="Times" w:eastAsia="Times"/>
          <w:b w:val="0"/>
          <w:i w:val="0"/>
          <w:color w:val="221F1F"/>
          <w:sz w:val="14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NSTRUCTING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TTORNEYS</w:t>
      </w:r>
      <w:r>
        <w:rPr>
          <w:rFonts w:ascii="Times" w:hAnsi="Times" w:eastAsia="Times"/>
          <w:b w:val="0"/>
          <w:i w:val="0"/>
          <w:color w:val="221F1F"/>
          <w:sz w:val="14"/>
        </w:rPr>
        <w:t>WHO</w:t>
      </w:r>
      <w:r>
        <w:rPr>
          <w:rFonts w:ascii="Times" w:hAnsi="Times" w:eastAsia="Times"/>
          <w:b w:val="0"/>
          <w:i w:val="0"/>
          <w:color w:val="221F1F"/>
          <w:sz w:val="14"/>
        </w:rPr>
        <w:t>HAVE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DEMONSTRATED </w:t>
      </w:r>
      <w:r>
        <w:rPr>
          <w:rFonts w:ascii="Times" w:hAnsi="Times" w:eastAsia="Times"/>
          <w:b w:val="0"/>
          <w:i w:val="0"/>
          <w:color w:val="221F1F"/>
          <w:sz w:val="14"/>
        </w:rPr>
        <w:t>EMINENCE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HIGH</w:t>
      </w:r>
      <w:r>
        <w:rPr>
          <w:rFonts w:ascii="Times" w:hAnsi="Times" w:eastAsia="Times"/>
          <w:b w:val="0"/>
          <w:i w:val="0"/>
          <w:color w:val="221F1F"/>
          <w:sz w:val="14"/>
        </w:rPr>
        <w:t>STANDARDS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LEGAL</w:t>
      </w:r>
      <w:r>
        <w:rPr>
          <w:rFonts w:ascii="Times" w:hAnsi="Times" w:eastAsia="Times"/>
          <w:b w:val="0"/>
          <w:i w:val="0"/>
          <w:color w:val="221F1F"/>
          <w:sz w:val="14"/>
        </w:rPr>
        <w:t>PROFESSION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50" w:lineRule="auto" w:before="62" w:after="0"/>
        <w:ind w:left="16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5" w:lineRule="auto" w:before="240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6478" w:val="left"/>
        </w:tabs>
        <w:autoSpaceDE w:val="0"/>
        <w:widowControl/>
        <w:spacing w:line="235" w:lineRule="auto" w:before="242" w:after="0"/>
        <w:ind w:left="167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Conferring the Honour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</w:t>
      </w:r>
    </w:p>
    <w:p>
      <w:pPr>
        <w:autoSpaceDN w:val="0"/>
        <w:autoSpaceDE w:val="0"/>
        <w:widowControl/>
        <w:spacing w:line="238" w:lineRule="auto" w:before="6" w:after="18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Senior Instructing Attorneys-at-Law Act, No. 26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6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His Exellency the President may, after obtaining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observations from the Chief Justice and the Minister assigned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subject of Justice, and having regard to the guidelines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by the Minister assigned the subject of Justice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3, confer the honour of Senior Instructing Attorney-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at-Law on any Attorney-at-Law of the Supreme Court of the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Conferring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honour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Senior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Instructing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Attorneys-at-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who-</w:t>
      </w:r>
    </w:p>
    <w:p>
      <w:pPr>
        <w:autoSpaceDN w:val="0"/>
        <w:tabs>
          <w:tab w:pos="2148" w:val="left"/>
          <w:tab w:pos="2158" w:val="left"/>
        </w:tabs>
        <w:autoSpaceDE w:val="0"/>
        <w:widowControl/>
        <w:spacing w:line="245" w:lineRule="auto" w:before="2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in active practice as an Instructing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for a period not less than twenty years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the date of conferring such honour;</w:t>
      </w:r>
    </w:p>
    <w:p>
      <w:pPr>
        <w:autoSpaceDN w:val="0"/>
        <w:tabs>
          <w:tab w:pos="2148" w:val="left"/>
          <w:tab w:pos="2158" w:val="left"/>
        </w:tabs>
        <w:autoSpaceDE w:val="0"/>
        <w:widowControl/>
        <w:spacing w:line="245" w:lineRule="auto" w:before="2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reached eminence in the legal profession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maintained high standards of conduct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professional rectitude;</w:t>
      </w:r>
    </w:p>
    <w:p>
      <w:pPr>
        <w:autoSpaceDN w:val="0"/>
        <w:tabs>
          <w:tab w:pos="2148" w:val="left"/>
          <w:tab w:pos="2158" w:val="left"/>
        </w:tabs>
        <w:autoSpaceDE w:val="0"/>
        <w:widowControl/>
        <w:spacing w:line="245" w:lineRule="auto" w:before="24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not been found guilty of any criminal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any written law;</w:t>
      </w:r>
    </w:p>
    <w:p>
      <w:pPr>
        <w:autoSpaceDN w:val="0"/>
        <w:tabs>
          <w:tab w:pos="2148" w:val="left"/>
          <w:tab w:pos="2158" w:val="left"/>
        </w:tabs>
        <w:autoSpaceDE w:val="0"/>
        <w:widowControl/>
        <w:spacing w:line="245" w:lineRule="auto" w:before="24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not been found guilty of any 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misconduct under the Supreme Court (Conduct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Etiquette for Attorneys-at-Law) Rules 1988 and</w:t>
      </w:r>
    </w:p>
    <w:p>
      <w:pPr>
        <w:sectPr>
          <w:pgSz w:w="11900" w:h="16840"/>
          <w:pgMar w:top="782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6" w:val="left"/>
        </w:tabs>
        <w:autoSpaceDE w:val="0"/>
        <w:widowControl/>
        <w:spacing w:line="238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Conferring the Honour of Senior Instructing</w:t>
      </w:r>
    </w:p>
    <w:p>
      <w:pPr>
        <w:autoSpaceDN w:val="0"/>
        <w:autoSpaceDE w:val="0"/>
        <w:widowControl/>
        <w:spacing w:line="235" w:lineRule="auto" w:before="50" w:after="0"/>
        <w:ind w:left="0" w:right="2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Attorneys-at-Law Act, No. 26 of 2023</w:t>
      </w:r>
    </w:p>
    <w:p>
      <w:pPr>
        <w:autoSpaceDN w:val="0"/>
        <w:autoSpaceDE w:val="0"/>
        <w:widowControl/>
        <w:spacing w:line="245" w:lineRule="auto" w:before="210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Judicature Act, No. 2 of 1978;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494" w:val="left"/>
        </w:tabs>
        <w:autoSpaceDE w:val="0"/>
        <w:widowControl/>
        <w:spacing w:line="235" w:lineRule="auto" w:before="242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been a person of good character and repute.</w:t>
      </w:r>
    </w:p>
    <w:p>
      <w:pPr>
        <w:autoSpaceDN w:val="0"/>
        <w:autoSpaceDE w:val="0"/>
        <w:widowControl/>
        <w:spacing w:line="252" w:lineRule="auto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His Excellency the President shall, upon conferring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honour of Senior Instructing Attorney-at-Law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Instructing Attorney, hand over a certificate to that effect to </w:t>
      </w:r>
      <w:r>
        <w:rPr>
          <w:rFonts w:ascii="Times" w:hAnsi="Times" w:eastAsia="Times"/>
          <w:b w:val="0"/>
          <w:i w:val="0"/>
          <w:color w:val="221F1F"/>
          <w:sz w:val="20"/>
        </w:rPr>
        <w:t>such Instructing Attorney.</w:t>
      </w:r>
    </w:p>
    <w:p>
      <w:pPr>
        <w:autoSpaceDN w:val="0"/>
        <w:autoSpaceDE w:val="0"/>
        <w:widowControl/>
        <w:spacing w:line="250" w:lineRule="auto" w:before="264" w:after="20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Attorney-at-Law to whom a certificate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handed over under subsection (2), may use the post-nominal </w:t>
      </w:r>
      <w:r>
        <w:rPr>
          <w:rFonts w:ascii="Times" w:hAnsi="Times" w:eastAsia="Times"/>
          <w:b w:val="0"/>
          <w:i w:val="0"/>
          <w:color w:val="221F1F"/>
          <w:sz w:val="20"/>
        </w:rPr>
        <w:t>title “SIA”.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Minister to make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2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assigned the subject of Justice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time to time, make guidelines relating to the conferment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honour of Senior Instructing Attorneys-at-Law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purposes of this Act.</w:t>
      </w:r>
    </w:p>
    <w:p>
      <w:pPr>
        <w:autoSpaceDN w:val="0"/>
        <w:autoSpaceDE w:val="0"/>
        <w:widowControl/>
        <w:spacing w:line="252" w:lineRule="auto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guidelines made by the Minister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the date of such publication or on such later </w:t>
      </w:r>
      <w:r>
        <w:rPr>
          <w:rFonts w:ascii="Times" w:hAnsi="Times" w:eastAsia="Times"/>
          <w:b w:val="0"/>
          <w:i w:val="0"/>
          <w:color w:val="221F1F"/>
          <w:sz w:val="20"/>
        </w:rPr>
        <w:t>date as may be specified therein.</w:t>
      </w:r>
    </w:p>
    <w:p>
      <w:pPr>
        <w:autoSpaceDN w:val="0"/>
        <w:tabs>
          <w:tab w:pos="3022" w:val="left"/>
        </w:tabs>
        <w:autoSpaceDE w:val="0"/>
        <w:widowControl/>
        <w:spacing w:line="238" w:lineRule="auto" w:before="264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this Act, unless the context otherwise requires-</w:t>
      </w:r>
    </w:p>
    <w:p>
      <w:pPr>
        <w:autoSpaceDN w:val="0"/>
        <w:autoSpaceDE w:val="0"/>
        <w:widowControl/>
        <w:spacing w:line="257" w:lineRule="auto" w:before="316" w:after="234"/>
        <w:ind w:left="392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“Instructing Attorney” means an Attorney-at-Law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 main practice is to instruct a Counsel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appear in court on the instructions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Attorney-at-Law.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9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4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Conferring the Honour of Senior Instructing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5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Attorneys-at-Law Act, No. 26 of 2023</w:t>
      </w:r>
    </w:p>
    <w:p>
      <w:pPr>
        <w:autoSpaceDN w:val="0"/>
        <w:autoSpaceDE w:val="0"/>
        <w:widowControl/>
        <w:spacing w:line="238" w:lineRule="auto" w:before="8844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p>
      <w:pPr>
        <w:autoSpaceDN w:val="0"/>
        <w:autoSpaceDE w:val="0"/>
        <w:widowControl/>
        <w:spacing w:line="245" w:lineRule="auto" w:before="22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