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60" w:lineRule="exact" w:before="758" w:after="0"/>
        <w:ind w:left="2160" w:right="2016" w:firstLine="0"/>
        <w:jc w:val="center"/>
      </w:pP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 xml:space="preserve">POWERS  OF  ATTORNEY  (AMENDMENT) </w:t>
      </w:r>
      <w:r>
        <w:rPr>
          <w:rFonts w:ascii="Times,Bold" w:hAnsi="Times,Bold" w:eastAsia="Times,Bold"/>
          <w:b/>
          <w:i w:val="0"/>
          <w:color w:val="221F1F"/>
          <w:sz w:val="24"/>
        </w:rPr>
        <w:t>ACT, No. 3 OF 2024</w:t>
      </w:r>
    </w:p>
    <w:p>
      <w:pPr>
        <w:autoSpaceDN w:val="0"/>
        <w:autoSpaceDE w:val="0"/>
        <w:widowControl/>
        <w:spacing w:line="235" w:lineRule="auto" w:before="1072" w:after="0"/>
        <w:ind w:left="0" w:right="29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23rd of January,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9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January 26,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4"/>
        <w:ind w:left="0" w:right="0"/>
      </w:pPr>
    </w:p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594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4" w:after="0"/>
              <w:ind w:left="1152" w:right="43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Powers of Attorney (Amendment)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3 of 2024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46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182" w:after="0"/>
        <w:ind w:left="0" w:right="37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23rd of January, 2024]</w:t>
      </w:r>
    </w:p>
    <w:p>
      <w:pPr>
        <w:autoSpaceDN w:val="0"/>
        <w:autoSpaceDE w:val="0"/>
        <w:widowControl/>
        <w:spacing w:line="235" w:lineRule="auto" w:before="17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26/2023</w:t>
      </w:r>
    </w:p>
    <w:p>
      <w:pPr>
        <w:autoSpaceDN w:val="0"/>
        <w:autoSpaceDE w:val="0"/>
        <w:widowControl/>
        <w:spacing w:line="245" w:lineRule="auto" w:before="170" w:after="0"/>
        <w:ind w:left="2160" w:right="360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OWERS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TTORNEY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122)</w:t>
      </w:r>
    </w:p>
    <w:p>
      <w:pPr>
        <w:autoSpaceDN w:val="0"/>
        <w:autoSpaceDE w:val="0"/>
        <w:widowControl/>
        <w:spacing w:line="245" w:lineRule="auto" w:before="168" w:after="11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11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144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 This Act may be cited as the Powers of Attorney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3 of 2024.</w:t>
            </w:r>
          </w:p>
          <w:p>
            <w:pPr>
              <w:autoSpaceDN w:val="0"/>
              <w:autoSpaceDE w:val="0"/>
              <w:widowControl/>
              <w:spacing w:line="245" w:lineRule="auto" w:before="168" w:after="0"/>
              <w:ind w:left="736" w:right="1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 of the Powers of Attorney Ordinance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122) (hereinafter referred to as the “principal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definition of the expression “power of attorney” thereof,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substitution for the words “executed before two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witnesses and an Ambassador” of the words “executed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an Ambassador”.</w:t>
            </w:r>
          </w:p>
          <w:p>
            <w:pPr>
              <w:autoSpaceDN w:val="0"/>
              <w:autoSpaceDE w:val="0"/>
              <w:widowControl/>
              <w:spacing w:line="245" w:lineRule="auto" w:before="168" w:after="0"/>
              <w:ind w:left="738" w:right="142" w:firstLine="23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Section 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substitution for the words “shall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execute” of the words “shall not execute”.</w:t>
            </w:r>
          </w:p>
          <w:p>
            <w:pPr>
              <w:autoSpaceDN w:val="0"/>
              <w:autoSpaceDE w:val="0"/>
              <w:widowControl/>
              <w:spacing w:line="245" w:lineRule="auto" w:before="366" w:after="0"/>
              <w:ind w:left="736" w:right="1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Section 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thereof, and the substitution therefor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45" w:lineRule="auto" w:before="440" w:after="0"/>
              <w:ind w:left="1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 of</w:t>
            </w:r>
          </w:p>
          <w:p>
            <w:pPr>
              <w:autoSpaceDN w:val="0"/>
              <w:autoSpaceDE w:val="0"/>
              <w:widowControl/>
              <w:spacing w:line="235" w:lineRule="auto" w:before="42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122</w:t>
            </w:r>
          </w:p>
          <w:p>
            <w:pPr>
              <w:autoSpaceDN w:val="0"/>
              <w:autoSpaceDE w:val="0"/>
              <w:widowControl/>
              <w:spacing w:line="254" w:lineRule="auto" w:before="934" w:after="0"/>
              <w:ind w:left="18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54" w:lineRule="auto" w:before="208" w:after="0"/>
              <w:ind w:left="19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08" w:after="108"/>
        <w:ind w:left="16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execute a document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12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  <w:p>
            <w:pPr>
              <w:autoSpaceDN w:val="0"/>
              <w:autoSpaceDE w:val="0"/>
              <w:widowControl/>
              <w:spacing w:line="235" w:lineRule="auto" w:before="3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296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it is executed in Sri Lanka before two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witnesses and attested by a notary public; or</w:t>
            </w:r>
          </w:p>
          <w:p>
            <w:pPr>
              <w:autoSpaceDN w:val="0"/>
              <w:autoSpaceDE w:val="0"/>
              <w:widowControl/>
              <w:spacing w:line="245" w:lineRule="auto" w:before="170" w:after="0"/>
              <w:ind w:left="96" w:right="1402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it is executed outside Sri Lanka before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Ambassador, or a High Commissioner, 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Diplomatic Officer or a Consular Officer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the meaning of the Consular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 Act, No. 4 of 1981 or a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who is authorized to attest a power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attorney according to the law of that country,</w:t>
            </w:r>
          </w:p>
        </w:tc>
      </w:tr>
    </w:tbl>
    <w:p>
      <w:pPr>
        <w:autoSpaceDN w:val="0"/>
        <w:autoSpaceDE w:val="0"/>
        <w:widowControl/>
        <w:spacing w:line="245" w:lineRule="auto" w:before="110" w:after="0"/>
        <w:ind w:left="1436" w:right="28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declaring his intention of revoking or cancelling the power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attorney or expressing his intention not to act under that </w:t>
      </w:r>
      <w:r>
        <w:rPr>
          <w:rFonts w:ascii="Times" w:hAnsi="Times" w:eastAsia="Times"/>
          <w:b w:val="0"/>
          <w:i w:val="0"/>
          <w:color w:val="000000"/>
          <w:sz w:val="20"/>
        </w:rPr>
        <w:t>power of attorney, as the case may be; and”.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60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738" w:after="0"/>
              <w:ind w:left="682" w:right="1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Schedule II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principal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4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432" w:right="1584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Powers of Attorney (Amendment)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3 of 2024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45" w:lineRule="auto" w:before="138" w:after="0"/>
              <w:ind w:left="18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The Schedule II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following Schedule is substituted therefor:-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autoSpaceDE w:val="0"/>
        <w:widowControl/>
        <w:spacing w:line="238" w:lineRule="auto" w:before="68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(sections 3(3) and 5)</w:t>
      </w:r>
    </w:p>
    <w:p>
      <w:pPr>
        <w:autoSpaceDN w:val="0"/>
        <w:autoSpaceDE w:val="0"/>
        <w:widowControl/>
        <w:spacing w:line="235" w:lineRule="auto" w:before="172" w:after="14"/>
        <w:ind w:left="0" w:right="3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SCHEDULE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96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4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32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Serial No.</w:t>
            </w:r>
          </w:p>
        </w:tc>
        <w:tc>
          <w:tcPr>
            <w:tcW w:type="dxa" w:w="10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0"/>
        </w:trPr>
        <w:tc>
          <w:tcPr>
            <w:tcW w:type="dxa" w:w="4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32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of Registration</w:t>
            </w:r>
          </w:p>
        </w:tc>
        <w:tc>
          <w:tcPr>
            <w:tcW w:type="dxa" w:w="10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8"/>
        </w:trPr>
        <w:tc>
          <w:tcPr>
            <w:tcW w:type="dxa" w:w="4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32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Description of the power of attorney</w:t>
            </w:r>
          </w:p>
        </w:tc>
        <w:tc>
          <w:tcPr>
            <w:tcW w:type="dxa" w:w="10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0"/>
        </w:trPr>
        <w:tc>
          <w:tcPr>
            <w:tcW w:type="dxa" w:w="4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32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Name and address of the grantor</w:t>
            </w:r>
          </w:p>
        </w:tc>
        <w:tc>
          <w:tcPr>
            <w:tcW w:type="dxa" w:w="10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2"/>
        </w:trPr>
        <w:tc>
          <w:tcPr>
            <w:tcW w:type="dxa" w:w="4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32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Name and address of the attorney</w:t>
            </w:r>
          </w:p>
        </w:tc>
        <w:tc>
          <w:tcPr>
            <w:tcW w:type="dxa" w:w="10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8"/>
        </w:trPr>
        <w:tc>
          <w:tcPr>
            <w:tcW w:type="dxa" w:w="4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32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of power of attorney</w:t>
            </w:r>
          </w:p>
        </w:tc>
        <w:tc>
          <w:tcPr>
            <w:tcW w:type="dxa" w:w="10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10"/>
        </w:trPr>
        <w:tc>
          <w:tcPr>
            <w:tcW w:type="dxa" w:w="4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32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4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whom the power of attorney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produced for the registration</w:t>
            </w:r>
          </w:p>
        </w:tc>
        <w:tc>
          <w:tcPr>
            <w:tcW w:type="dxa" w:w="10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22"/>
        </w:trPr>
        <w:tc>
          <w:tcPr>
            <w:tcW w:type="dxa" w:w="4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32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Volume and Folio where the true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copy of the power of attorney is filed</w:t>
            </w:r>
          </w:p>
        </w:tc>
        <w:tc>
          <w:tcPr>
            <w:tcW w:type="dxa" w:w="10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80"/>
        </w:trPr>
        <w:tc>
          <w:tcPr>
            <w:tcW w:type="dxa" w:w="4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32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14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and number of the document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revocation or cancellation</w:t>
            </w:r>
          </w:p>
        </w:tc>
        <w:tc>
          <w:tcPr>
            <w:tcW w:type="dxa" w:w="10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90"/>
        </w:trPr>
        <w:tc>
          <w:tcPr>
            <w:tcW w:type="dxa" w:w="4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32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4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whom the document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revocation or cancellation given</w:t>
            </w:r>
          </w:p>
        </w:tc>
        <w:tc>
          <w:tcPr>
            <w:tcW w:type="dxa" w:w="10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30"/>
        </w:trPr>
        <w:tc>
          <w:tcPr>
            <w:tcW w:type="dxa" w:w="4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32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of registration of the document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revocation or cancellation</w:t>
            </w:r>
          </w:p>
        </w:tc>
        <w:tc>
          <w:tcPr>
            <w:tcW w:type="dxa" w:w="10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4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32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14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Volume and Folio where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 of revocation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cancellation is registered</w:t>
            </w:r>
          </w:p>
        </w:tc>
        <w:tc>
          <w:tcPr>
            <w:tcW w:type="dxa" w:w="10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60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584" w:right="432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Powers of Attorney (Amendment)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3 of 2024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Validation</w:t>
            </w:r>
          </w:p>
        </w:tc>
      </w:tr>
      <w:tr>
        <w:trPr>
          <w:trHeight w:hRule="exact" w:val="386"/>
        </w:trPr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85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Notwithstanding the provisions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16" w:after="0"/>
        <w:ind w:left="1438" w:right="27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and subsection (2), of section 8 of the Powers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Attorney (Amendment) Act, No. 28 of 2022, every power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attorney executed prior to October 25, 2022 and which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not been registered on or prior to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 shall be deemed to be valid for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two years from October 25, 2022, and be submitted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registration to the Registrar General within such period </w:t>
      </w:r>
      <w:r>
        <w:rPr>
          <w:rFonts w:ascii="Times" w:hAnsi="Times" w:eastAsia="Times"/>
          <w:b w:val="0"/>
          <w:i w:val="0"/>
          <w:color w:val="000000"/>
          <w:sz w:val="20"/>
        </w:rPr>
        <w:t>of two years.</w:t>
      </w:r>
    </w:p>
    <w:p>
      <w:pPr>
        <w:autoSpaceDN w:val="0"/>
        <w:autoSpaceDE w:val="0"/>
        <w:widowControl/>
        <w:spacing w:line="264" w:lineRule="auto" w:before="294" w:after="230"/>
        <w:ind w:left="1438" w:right="275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power of attorney referred to in subsection (1)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not submitted for registration within the period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that subsection, shall be deemed to be null and </w:t>
      </w:r>
      <w:r>
        <w:rPr>
          <w:rFonts w:ascii="Times" w:hAnsi="Times" w:eastAsia="Times"/>
          <w:b w:val="0"/>
          <w:i w:val="0"/>
          <w:color w:val="000000"/>
          <w:sz w:val="20"/>
        </w:rPr>
        <w:t>void, with effect from the date of expiration of that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68"/>
        </w:trPr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7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8" w:after="0"/>
              <w:ind w:left="13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10"/>
        <w:ind w:left="0" w:right="0"/>
      </w:pPr>
    </w:p>
    <w:p>
      <w:pPr>
        <w:autoSpaceDN w:val="0"/>
        <w:autoSpaceDE w:val="0"/>
        <w:widowControl/>
        <w:spacing w:line="6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6.0000000000002" w:type="dxa"/>
      </w:tblPr>
      <w:tblGrid>
        <w:gridCol w:w="4510"/>
        <w:gridCol w:w="4510"/>
      </w:tblGrid>
      <w:tr>
        <w:trPr>
          <w:trHeight w:hRule="exact" w:val="9758"/>
        </w:trPr>
        <w:tc>
          <w:tcPr>
            <w:tcW w:type="dxa" w:w="2054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4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4196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4" w:after="0"/>
              <w:ind w:left="432" w:right="100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Powers of Attorney (Amendment)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Act, No. 3 of 2024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RAKASHANA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IYASA</w:t>
      </w:r>
      <w:r>
        <w:rPr>
          <w:rFonts w:ascii="Times" w:hAnsi="Times" w:eastAsia="Times"/>
          <w:b w:val="0"/>
          <w:i w:val="0"/>
          <w:color w:val="000000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OVERNMENT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RINTING</w:t>
      </w:r>
      <w:r>
        <w:rPr>
          <w:rFonts w:ascii="Times" w:hAnsi="Times" w:eastAsia="Times"/>
          <w:b w:val="0"/>
          <w:i w:val="0"/>
          <w:color w:val="000000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ANISTER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ILVA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AWATHA</w:t>
      </w:r>
      <w:r>
        <w:rPr>
          <w:rFonts w:ascii="Times" w:hAnsi="Times" w:eastAsia="Times"/>
          <w:b w:val="0"/>
          <w:i w:val="0"/>
          <w:color w:val="000000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8.</w:t>
      </w:r>
    </w:p>
    <w:sectPr w:rsidR="00FC693F" w:rsidRPr="0006063C" w:rsidSect="00034616">
      <w:pgSz w:w="11900" w:h="16840"/>
      <w:pgMar w:top="1332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