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7" w:lineRule="auto" w:before="818" w:after="0"/>
        <w:ind w:left="175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3"/>
        </w:rPr>
        <w:t>CONTEMPT OF A COURT, TRIBUNAL OR INSTITUTION</w:t>
      </w:r>
    </w:p>
    <w:p>
      <w:pPr>
        <w:autoSpaceDN w:val="0"/>
        <w:autoSpaceDE w:val="0"/>
        <w:widowControl/>
        <w:spacing w:line="238" w:lineRule="auto" w:before="16" w:after="0"/>
        <w:ind w:left="0" w:right="32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 No.  8  OF  2024</w:t>
      </w:r>
    </w:p>
    <w:p>
      <w:pPr>
        <w:autoSpaceDN w:val="0"/>
        <w:autoSpaceDE w:val="0"/>
        <w:widowControl/>
        <w:spacing w:line="235" w:lineRule="auto" w:before="972" w:after="0"/>
        <w:ind w:left="0" w:right="28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31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3216" w:val="left"/>
        </w:tabs>
        <w:autoSpaceDE w:val="0"/>
        <w:widowControl/>
        <w:spacing w:line="362" w:lineRule="auto" w:before="12" w:after="0"/>
        <w:ind w:left="2318" w:right="360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8 of 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[Certified on 01st of February, 2024]</w:t>
      </w:r>
    </w:p>
    <w:p>
      <w:pPr>
        <w:autoSpaceDN w:val="0"/>
        <w:autoSpaceDE w:val="0"/>
        <w:widowControl/>
        <w:spacing w:line="382" w:lineRule="auto" w:before="30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L.D.- O. 55/2021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UNIFORM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</w:p>
    <w:p>
      <w:pPr>
        <w:autoSpaceDN w:val="0"/>
        <w:autoSpaceDE w:val="0"/>
        <w:widowControl/>
        <w:spacing w:line="238" w:lineRule="auto" w:before="24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38" w:lineRule="auto" w:before="24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PUNISHING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autoSpaceDE w:val="0"/>
        <w:widowControl/>
        <w:spacing w:line="238" w:lineRule="auto" w:before="2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24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343" w:lineRule="auto" w:before="276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Contempt of a Court,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Tribunal or Institution Act, No. 8 of 2024.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6" w:after="0"/>
        <w:ind w:left="16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2. </w:t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this Act shall be to–</w:t>
      </w:r>
      <w:r>
        <w:rPr>
          <w:rFonts w:ascii="Times" w:hAnsi="Times" w:eastAsia="Times"/>
          <w:b w:val="0"/>
          <w:i w:val="0"/>
          <w:color w:val="221F1F"/>
          <w:sz w:val="16"/>
        </w:rPr>
        <w:t>Objects</w:t>
      </w:r>
      <w:r>
        <w:rPr>
          <w:rFonts w:ascii="Times" w:hAnsi="Times" w:eastAsia="Times"/>
          <w:b w:val="0"/>
          <w:i w:val="0"/>
          <w:color w:val="221F1F"/>
          <w:sz w:val="16"/>
        </w:rPr>
        <w:t>of the</w:t>
      </w:r>
    </w:p>
    <w:p>
      <w:pPr>
        <w:autoSpaceDN w:val="0"/>
        <w:autoSpaceDE w:val="0"/>
        <w:widowControl/>
        <w:spacing w:line="238" w:lineRule="auto" w:before="4" w:after="0"/>
        <w:ind w:left="0" w:right="2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autoSpaceDN w:val="0"/>
        <w:tabs>
          <w:tab w:pos="2096" w:val="left"/>
          <w:tab w:pos="2396" w:val="left"/>
        </w:tabs>
        <w:autoSpaceDE w:val="0"/>
        <w:widowControl/>
        <w:spacing w:line="382" w:lineRule="auto" w:before="90" w:after="0"/>
        <w:ind w:left="20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uphold the dignity and authority of a court,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and institution;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protect the due administration of justice;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adherence to judicial directives;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preserve and maintain the effectiveness and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impartiality of a court, tribunal and institution;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strike a balance between the right of expression,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fair comment and compliance with judicial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with precision the ambit of contempt of 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and institution;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observance of, and respect for,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process of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186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6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Save as provided for in any other written law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the Constitution,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commits an act or omission with intent to-</w:t>
            </w:r>
          </w:p>
        </w:tc>
      </w:tr>
    </w:tbl>
    <w:p>
      <w:pPr>
        <w:autoSpaceDN w:val="0"/>
        <w:tabs>
          <w:tab w:pos="3038" w:val="left"/>
          <w:tab w:pos="3384" w:val="left"/>
        </w:tabs>
        <w:autoSpaceDE w:val="0"/>
        <w:widowControl/>
        <w:spacing w:line="247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bring the authority of a court, tribunal or institution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administration of justice into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disrespect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disregard; or</w:t>
      </w:r>
    </w:p>
    <w:p>
      <w:pPr>
        <w:autoSpaceDN w:val="0"/>
        <w:tabs>
          <w:tab w:pos="3384" w:val="left"/>
        </w:tabs>
        <w:autoSpaceDE w:val="0"/>
        <w:widowControl/>
        <w:spacing w:line="247" w:lineRule="auto" w:before="266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interfere with, or cause grave prejudice to the judicial </w:t>
      </w:r>
      <w:r>
        <w:rPr>
          <w:rFonts w:ascii="Times" w:hAnsi="Times" w:eastAsia="Times"/>
          <w:b w:val="0"/>
          <w:i w:val="0"/>
          <w:color w:val="221F1F"/>
          <w:sz w:val="20"/>
        </w:rPr>
        <w:t>process in relation to any ongoing litigation,</w:t>
      </w:r>
    </w:p>
    <w:p>
      <w:pPr>
        <w:autoSpaceDN w:val="0"/>
        <w:autoSpaceDE w:val="0"/>
        <w:widowControl/>
        <w:spacing w:line="247" w:lineRule="auto" w:before="264" w:after="0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contempt of a court, tribunal or institution,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autoSpaceDE w:val="0"/>
        <w:widowControl/>
        <w:spacing w:line="252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Save as provided for in any other written law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Constitution,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does any of the following acts commits contempt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or institution, as the case may be- </w:t>
      </w:r>
    </w:p>
    <w:p>
      <w:pPr>
        <w:autoSpaceDN w:val="0"/>
        <w:autoSpaceDE w:val="0"/>
        <w:widowControl/>
        <w:spacing w:line="250" w:lineRule="auto" w:before="264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 disobedience to any judgment, decree,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direction, order, writ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process of a court, </w:t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institution;</w:t>
      </w:r>
    </w:p>
    <w:p>
      <w:pPr>
        <w:autoSpaceDN w:val="0"/>
        <w:tabs>
          <w:tab w:pos="3384" w:val="left"/>
        </w:tabs>
        <w:autoSpaceDE w:val="0"/>
        <w:widowControl/>
        <w:spacing w:line="247" w:lineRule="auto" w:before="264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 breach of an undertaking given to a court, </w:t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institution;</w:t>
      </w:r>
    </w:p>
    <w:p>
      <w:pPr>
        <w:autoSpaceDN w:val="0"/>
        <w:tabs>
          <w:tab w:pos="3384" w:val="left"/>
        </w:tabs>
        <w:autoSpaceDE w:val="0"/>
        <w:widowControl/>
        <w:spacing w:line="247" w:lineRule="auto" w:before="266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expressing, pronouncing or publishing any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false which, or doing any other act which- </w:t>
      </w:r>
    </w:p>
    <w:p>
      <w:pPr>
        <w:autoSpaceDN w:val="0"/>
        <w:tabs>
          <w:tab w:pos="3984" w:val="left"/>
        </w:tabs>
        <w:autoSpaceDE w:val="0"/>
        <w:widowControl/>
        <w:spacing w:line="247" w:lineRule="auto" w:before="264" w:after="0"/>
        <w:ind w:left="36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scandalizes or lowers the judicial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dignity of a court, tribunal or institution;</w:t>
      </w:r>
    </w:p>
    <w:p>
      <w:pPr>
        <w:autoSpaceDN w:val="0"/>
        <w:tabs>
          <w:tab w:pos="3984" w:val="left"/>
        </w:tabs>
        <w:autoSpaceDE w:val="0"/>
        <w:widowControl/>
        <w:spacing w:line="250" w:lineRule="auto" w:before="266" w:after="0"/>
        <w:ind w:left="35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gravely prejudices, or unlawfully interferes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the due course of any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proceeding; or</w:t>
      </w:r>
    </w:p>
    <w:p>
      <w:pPr>
        <w:autoSpaceDN w:val="0"/>
        <w:tabs>
          <w:tab w:pos="3980" w:val="left"/>
          <w:tab w:pos="3984" w:val="left"/>
        </w:tabs>
        <w:autoSpaceDE w:val="0"/>
        <w:widowControl/>
        <w:spacing w:line="247" w:lineRule="auto" w:before="266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interferes with, or obstructs the administration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justice;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247" w:lineRule="auto" w:before="0" w:after="0"/>
        <w:ind w:left="20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6" w:after="0"/>
        <w:ind w:left="0" w:right="43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45" w:lineRule="auto" w:before="252" w:after="0"/>
        <w:ind w:left="2336" w:right="2782" w:hanging="6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use of any electronic device or other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audio or visual recording or both, in a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institution, or bringing into a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 any such device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for the purpose of audio or visual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or both, without the leave of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 already obtained; </w:t>
      </w:r>
    </w:p>
    <w:p>
      <w:pPr>
        <w:autoSpaceDN w:val="0"/>
        <w:autoSpaceDE w:val="0"/>
        <w:widowControl/>
        <w:spacing w:line="245" w:lineRule="auto" w:before="242" w:after="0"/>
        <w:ind w:left="233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publication or transmission of an audio or a visual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or both, of a proceeding or part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 of a court, tribunal or 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any electronic device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instrument, or any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derived 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 from such device or instrument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the leave of the court, 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already obtained;</w:t>
      </w:r>
    </w:p>
    <w:p>
      <w:pPr>
        <w:autoSpaceDN w:val="0"/>
        <w:autoSpaceDE w:val="0"/>
        <w:widowControl/>
        <w:spacing w:line="245" w:lineRule="auto" w:before="240" w:after="0"/>
        <w:ind w:left="2336" w:right="2782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use of any electronic device or other instrument,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publication or transmission of an audio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recording or both, of a proceeding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or institution, in contravention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leave granted under sub-paragraph (i)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sub-paragraph (ii);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autoSpaceDE w:val="0"/>
        <w:widowControl/>
        <w:spacing w:line="245" w:lineRule="auto" w:before="242" w:after="0"/>
        <w:ind w:left="2336" w:right="2782" w:hanging="3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tampering, altering or falsifying any audio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recording or both, of a proceeding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court, tribunal or institution; or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scandalizing a court, tribunal or institution,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judge or judicial officer with intent to-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45" w:lineRule="auto" w:before="240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 with the due administration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justice;</w:t>
      </w:r>
    </w:p>
    <w:p>
      <w:pPr>
        <w:autoSpaceDN w:val="0"/>
        <w:tabs>
          <w:tab w:pos="2636" w:val="left"/>
        </w:tabs>
        <w:autoSpaceDE w:val="0"/>
        <w:widowControl/>
        <w:spacing w:line="245" w:lineRule="auto" w:before="242" w:after="0"/>
        <w:ind w:left="22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excite dissatisfaction in the minds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 regard to a court, tribunal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institution; or</w:t>
      </w:r>
    </w:p>
    <w:p>
      <w:pPr>
        <w:autoSpaceDN w:val="0"/>
        <w:tabs>
          <w:tab w:pos="2636" w:val="left"/>
          <w:tab w:pos="2640" w:val="left"/>
        </w:tabs>
        <w:autoSpaceDE w:val="0"/>
        <w:widowControl/>
        <w:spacing w:line="250" w:lineRule="auto" w:before="242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 public suspicion on the administration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justice.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autoSpaceDE w:val="0"/>
        <w:widowControl/>
        <w:spacing w:line="238" w:lineRule="auto" w:before="26" w:after="166"/>
        <w:ind w:left="0" w:right="29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4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Defences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court, tribunal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institution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publication or expression of accurate facts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in good faith of a judge or judicial officer 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proceeding, judgment or order of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as the case may be, on a matter of public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deemed to be contempt of such court, tribunal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institution, where the risk of causing any impediment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prejudice to such judge or judicial officer or proceeding,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judgement or order is merely incidental.</w:t>
            </w:r>
          </w:p>
        </w:tc>
      </w:tr>
    </w:tbl>
    <w:p>
      <w:pPr>
        <w:autoSpaceDN w:val="0"/>
        <w:autoSpaceDE w:val="0"/>
        <w:widowControl/>
        <w:spacing w:line="235" w:lineRule="auto" w:before="140" w:after="142"/>
        <w:ind w:left="0" w:right="31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2)  Any publication or expression-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4510"/>
        <w:gridCol w:w="4510"/>
      </w:tblGrid>
      <w:tr>
        <w:trPr>
          <w:trHeight w:hRule="exact" w:val="184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accurate facts of any case or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 court, tribunal or institution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malice or intention to impair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of justice; or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fair comments on the merits of any judgment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order of a court, or action or application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heard and decided,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deemed to be contempt of a court, tribunal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where every attempt has been made to avoid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and such publication or expression has been done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bona fide.</w:t>
      </w:r>
    </w:p>
    <w:p>
      <w:pPr>
        <w:autoSpaceDN w:val="0"/>
        <w:autoSpaceDE w:val="0"/>
        <w:widowControl/>
        <w:spacing w:line="245" w:lineRule="auto" w:before="202" w:after="1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subsections (1) and (2)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as affecting or limiting any other valid defence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contempt of a court, tribunal or institution,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Non-disclosure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source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not be-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disclose, during the court proceedings;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 guilty of contempt of court for rufusing to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disclose,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source of information contained in a publication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which he is responsible, unless it is established to the</w:t>
      </w:r>
    </w:p>
    <w:p>
      <w:pPr>
        <w:autoSpaceDN w:val="0"/>
        <w:autoSpaceDE w:val="0"/>
        <w:widowControl/>
        <w:spacing w:line="235" w:lineRule="auto" w:before="1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satisfaction of the court that disclosure is necessary in the</w:t>
      </w:r>
    </w:p>
    <w:p>
      <w:pPr>
        <w:autoSpaceDN w:val="0"/>
        <w:autoSpaceDE w:val="0"/>
        <w:widowControl/>
        <w:spacing w:line="235" w:lineRule="auto" w:before="2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interest of justice or national security or for the prevention</w:t>
      </w:r>
    </w:p>
    <w:p>
      <w:pPr>
        <w:autoSpaceDN w:val="0"/>
        <w:autoSpaceDE w:val="0"/>
        <w:widowControl/>
        <w:spacing w:line="235" w:lineRule="auto" w:before="26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disorder or crime.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247" w:lineRule="auto" w:before="0" w:after="0"/>
        <w:ind w:left="20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6" w:after="180"/>
        <w:ind w:left="0" w:right="43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8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Supreme Court and the Court of Appeal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the power to punish for contempt of itself,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in its presence or hearing or elsewhere. 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Where the Supreme Court or the Court of Appeal,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in the exercise of its jurisdiction as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(1), takes cognizance-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Supreme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Appeal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punish contempt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court,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</w:p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court committed in its presence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hearing, the Supreme Court or the Court of Appeal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hear and determine such matter in accordance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procedure set out in section 8; and 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of court committed otherwise than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presence or hearing, the Supreme Court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shall hear and determine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in accordance with the procedure set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9.</w:t>
      </w:r>
    </w:p>
    <w:p>
      <w:pPr>
        <w:autoSpaceDN w:val="0"/>
        <w:autoSpaceDE w:val="0"/>
        <w:widowControl/>
        <w:spacing w:line="245" w:lineRule="auto" w:before="24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of Appeal shall have the power to punish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contempt of a Court of First Instance or tribunal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institution,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committed in its presence or hearing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elsewhere:</w:t>
      </w:r>
    </w:p>
    <w:p>
      <w:pPr>
        <w:autoSpaceDN w:val="0"/>
        <w:autoSpaceDE w:val="0"/>
        <w:widowControl/>
        <w:spacing w:line="245" w:lineRule="auto" w:before="248" w:after="0"/>
        <w:ind w:left="1436" w:right="2782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prejudice or affect the rights of</w:t>
      </w:r>
      <w:r>
        <w:rPr>
          <w:rFonts w:ascii="Times" w:hAnsi="Times" w:eastAsia="Times"/>
          <w:b w:val="0"/>
          <w:i w:val="0"/>
          <w:color w:val="221F1F"/>
          <w:sz w:val="20"/>
        </w:rPr>
        <w:t>a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First Instance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punish for contempt of itself. </w:t>
      </w:r>
    </w:p>
    <w:p>
      <w:pPr>
        <w:autoSpaceDN w:val="0"/>
        <w:autoSpaceDE w:val="0"/>
        <w:widowControl/>
        <w:spacing w:line="247" w:lineRule="auto" w:before="248" w:after="188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Court of Appeal, in the exercise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as referred to in subsection (3), takes cognizance </w:t>
      </w:r>
      <w:r>
        <w:rPr>
          <w:rFonts w:ascii="Times" w:hAnsi="Times" w:eastAsia="Times"/>
          <w:b w:val="0"/>
          <w:i w:val="0"/>
          <w:color w:val="221F1F"/>
          <w:sz w:val="20"/>
        </w:rPr>
        <w:t>of contempt of a Court of First Instance or tribunal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referred to in that subsection, the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hear and determine such matter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 set out in section 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the provisions of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the Courts of First Instance shall have the power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 for contempt of court committed in its presence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 or in the course of proceedings in such Courts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Courts of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punish contempt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court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62" w:lineRule="auto" w:before="25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Instance, or any act which is specified in this Act or in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for the time being in force as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as contempt of court, 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autoSpaceDN w:val="0"/>
        <w:autoSpaceDE w:val="0"/>
        <w:widowControl/>
        <w:spacing w:line="264" w:lineRule="auto" w:before="294" w:after="2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Court of First Instance takes cognizance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referred to in subsection (1), such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 shall hear and determine such matter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procedure set out in section 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20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is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Supreme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Court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it is alleged, or appears to the Supreme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Court of Appeal, as the case may be, that a person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contempt of court in its presence or hearing,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Supreme Court or the Court of Appeal may-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such person to be detained in custody;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 before the rising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Supreme Court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Court of Appeal, on the day on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is alleged to have been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 early as possible thereafter, cause a rule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on him signed by the Registrar of the Court,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particulars in writing of the contempt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with which he is charged; and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0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 a date for the hearing of the charge.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the date fixed for the hearing of the charge,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charged with contempt of court shall be afforded an </w:t>
      </w:r>
      <w:r>
        <w:rPr>
          <w:rFonts w:ascii="Times" w:hAnsi="Times" w:eastAsia="Times"/>
          <w:b w:val="0"/>
          <w:i w:val="0"/>
          <w:color w:val="221F1F"/>
          <w:sz w:val="20"/>
        </w:rPr>
        <w:t>opportunity to make his defence to the charge.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Supreme Court or the Court of Appeal,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shall, after affording the person charged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an opportunity to furnish an affidavit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 and hearing the person charged with contempt of </w:t>
      </w:r>
      <w:r>
        <w:rPr>
          <w:rFonts w:ascii="Times" w:hAnsi="Times" w:eastAsia="Times"/>
          <w:b w:val="0"/>
          <w:i w:val="0"/>
          <w:color w:val="221F1F"/>
          <w:sz w:val="20"/>
        </w:rPr>
        <w:t>court and taking such evidence as may be necessary or 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216" w:val="left"/>
          <w:tab w:pos="6112" w:val="left"/>
        </w:tabs>
        <w:autoSpaceDE w:val="0"/>
        <w:widowControl/>
        <w:spacing w:line="257" w:lineRule="auto" w:before="0" w:after="0"/>
        <w:ind w:left="20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57" w:lineRule="auto" w:before="25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offered by such person, proceed either forthwith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such adjournment as the Supreme Court or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>Appeal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think fit, to determine the charge and to make </w:t>
      </w:r>
      <w:r>
        <w:rPr>
          <w:rFonts w:ascii="Times" w:hAnsi="Times" w:eastAsia="Times"/>
          <w:b w:val="0"/>
          <w:i w:val="0"/>
          <w:color w:val="221F1F"/>
          <w:sz w:val="20"/>
        </w:rPr>
        <w:t>order for the punishment or discharge of the person charged.</w:t>
      </w:r>
    </w:p>
    <w:p>
      <w:pPr>
        <w:autoSpaceDN w:val="0"/>
        <w:autoSpaceDE w:val="0"/>
        <w:widowControl/>
        <w:spacing w:line="266" w:lineRule="auto" w:before="282" w:after="0"/>
        <w:ind w:left="1436" w:right="278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contained in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where a person charged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court under subsection (1) applies,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orally or in writing, to have the charge against him tried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some Judge or Judges other than the Judge or Judges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presence or hearing the contempt of court is alleged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committed, the Court shall cause the matter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placed, together with a statement of the facts of the case,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Chief Justice or the President of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as the case may be, for such directions as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or the President of the Court of Appeal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may think fit to issue with respect to the trial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charge.</w:t>
      </w:r>
    </w:p>
    <w:p>
      <w:pPr>
        <w:autoSpaceDN w:val="0"/>
        <w:autoSpaceDE w:val="0"/>
        <w:widowControl/>
        <w:spacing w:line="269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anything contained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at the trial of a person charged with contempt of 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which is held, in pursuance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issued under subsection (4), by a Judge or Judges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Judge or Judges in whose presence or hearing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contempt of court is alleged to have been committed,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statement of facts  placed before the Chief Justice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of the Court of Appeal as the case may be,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by the Judge or Judges in whose presence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hearing the contempt of court is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shall be received in evidence, but no such Judge </w:t>
      </w:r>
      <w:r>
        <w:rPr>
          <w:rFonts w:ascii="Times" w:hAnsi="Times" w:eastAsia="Times"/>
          <w:b w:val="0"/>
          <w:i w:val="0"/>
          <w:color w:val="221F1F"/>
          <w:sz w:val="20"/>
        </w:rPr>
        <w:t>or Judges</w:t>
      </w:r>
      <w:r>
        <w:rPr>
          <w:rFonts w:ascii="Times" w:hAnsi="Times" w:eastAsia="Times"/>
          <w:b w:val="0"/>
          <w:i w:val="0"/>
          <w:color w:val="221F1F"/>
          <w:sz w:val="20"/>
        </w:rPr>
        <w:t>shall be summoned or examined  as a witness.</w:t>
      </w:r>
    </w:p>
    <w:p>
      <w:pPr>
        <w:autoSpaceDN w:val="0"/>
        <w:autoSpaceDE w:val="0"/>
        <w:widowControl/>
        <w:spacing w:line="264" w:lineRule="auto" w:before="29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provisions of subsections (2) and (3)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subject to the provisions of subsection (5),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hearing and determination of the charge by the </w:t>
      </w:r>
      <w:r>
        <w:rPr>
          <w:rFonts w:ascii="Times" w:hAnsi="Times" w:eastAsia="Times"/>
          <w:b w:val="0"/>
          <w:i w:val="0"/>
          <w:color w:val="221F1F"/>
          <w:sz w:val="20"/>
        </w:rPr>
        <w:t>Judge or Judges other than the Judge or Judges in whose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59" w:lineRule="auto" w:before="256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presence or hearing the 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committed, in pursuance of a direction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(4). </w:t>
      </w:r>
    </w:p>
    <w:p>
      <w:pPr>
        <w:autoSpaceDN w:val="0"/>
        <w:autoSpaceDE w:val="0"/>
        <w:widowControl/>
        <w:spacing w:line="264" w:lineRule="auto" w:before="292" w:after="232"/>
        <w:ind w:left="2784" w:right="1436" w:firstLine="240"/>
        <w:jc w:val="both"/>
      </w:pP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7) The Supreme Court or the Court of Appeal,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may, pending the determination of a charge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direct that such person be released on bail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such conditions as such Court may deem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46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is not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presence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Supreme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Appeal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Supreme Court or the Court of Appeal,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case may be, may take cognizance of contempt of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against it, or in disrespect of its authority,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than contempt of court committed in its presence or hearing,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on-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own motion;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Attorney-General, together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document or thing in support of the motion;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motion filed by any other person, together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affidavit and  any document or thing in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motion.</w:t>
      </w:r>
    </w:p>
    <w:p>
      <w:pPr>
        <w:autoSpaceDN w:val="0"/>
        <w:autoSpaceDE w:val="0"/>
        <w:widowControl/>
        <w:spacing w:line="264" w:lineRule="auto" w:before="290" w:after="0"/>
        <w:ind w:left="2784" w:right="143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Every motion or affidavit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filed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set out the particulars of the contempt of court alleged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committed by the person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the contempt of court.</w:t>
      </w:r>
    </w:p>
    <w:p>
      <w:pPr>
        <w:autoSpaceDN w:val="0"/>
        <w:autoSpaceDE w:val="0"/>
        <w:widowControl/>
        <w:spacing w:line="266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 or the Court of Appeal,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shall, after perusing the motion, and the affidavit,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thing filed under subsection (1) and satisfying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itself that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case of 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against the person alleged to have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>such contempt-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216" w:val="left"/>
          <w:tab w:pos="6112" w:val="left"/>
        </w:tabs>
        <w:autoSpaceDE w:val="0"/>
        <w:widowControl/>
        <w:spacing w:line="257" w:lineRule="auto" w:before="0" w:after="0"/>
        <w:ind w:left="20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a rule to be issued on such person signed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Registrar of the Court, giving particulars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of the contempt of court with which he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charged;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that such rule, together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filed under subsection (1), be served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such person; and 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302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 a date for the hearing of the charge.</w:t>
      </w:r>
    </w:p>
    <w:p>
      <w:pPr>
        <w:autoSpaceDN w:val="0"/>
        <w:autoSpaceDE w:val="0"/>
        <w:widowControl/>
        <w:spacing w:line="264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On the date fixed for the hearing of the charge,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may lead the evidence of such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document filed under subsection (1),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subject to the right of cross-examination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person charged with contempt of court.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On the date fixed for the hearing of the charge,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charged with contempt of court shall be afforded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opportunity to make his defence to the charge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file an affidavit or to adduce evidence in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defence. 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Supreme Court or the Court of Appeal,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hear and determine the charge after considering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affidavit filed by the person charged with contempt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after hearing the evidence adduced by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be.</w:t>
      </w:r>
    </w:p>
    <w:p>
      <w:pPr>
        <w:autoSpaceDN w:val="0"/>
        <w:autoSpaceDE w:val="0"/>
        <w:widowControl/>
        <w:spacing w:line="259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Supreme Court or the Court of Appeal,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be, may direct that-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charged with contempt of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be detained in such custody as it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specify; or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62" w:after="25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be released on bail subject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it may deem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exercise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jurisdiction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Court of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Court of Appeal may take cognizance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contempt committed against, or in disrespect of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a Court of First Instance or tribunal or an institution on-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Appeal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made to it by such Court of First</w:t>
            </w:r>
          </w:p>
        </w:tc>
      </w:tr>
      <w:tr>
        <w:trPr>
          <w:trHeight w:hRule="exact" w:val="18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Instance, tribunal or institution;</w:t>
            </w:r>
          </w:p>
        </w:tc>
      </w:tr>
      <w:tr>
        <w:trPr>
          <w:trHeight w:hRule="exact" w:val="181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a Court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First Instance,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Attorney-General, together</w:t>
            </w:r>
          </w:p>
        </w:tc>
      </w:tr>
      <w:tr>
        <w:trPr>
          <w:trHeight w:hRule="exact" w:val="19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document or thing in support of the motion;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0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motion filed by any other person, together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affidavit and any document or thing in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motion.</w:t>
      </w:r>
    </w:p>
    <w:p>
      <w:pPr>
        <w:autoSpaceDN w:val="0"/>
        <w:autoSpaceDE w:val="0"/>
        <w:widowControl/>
        <w:spacing w:line="271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reference made, or motion or affidavit filed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set out the particulars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of the court, tribunal or institution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alleged to have been committed by the person alleged to </w:t>
      </w:r>
      <w:r>
        <w:rPr>
          <w:rFonts w:ascii="Times" w:hAnsi="Times" w:eastAsia="Times"/>
          <w:b w:val="0"/>
          <w:i w:val="0"/>
          <w:color w:val="221F1F"/>
          <w:sz w:val="20"/>
        </w:rPr>
        <w:t>have committed such contempt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71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Court of Appeal shall, after perusing the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or the motion or affidavit filed under subsection (1),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and satisfying itself that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case </w:t>
      </w:r>
      <w:r>
        <w:rPr>
          <w:rFonts w:ascii="Times" w:hAnsi="Times" w:eastAsia="Times"/>
          <w:b w:val="0"/>
          <w:i w:val="0"/>
          <w:color w:val="221F1F"/>
          <w:sz w:val="20"/>
        </w:rPr>
        <w:t>of contempt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court, tribunal or institution,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>may be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has been established against the person alleged to </w:t>
      </w:r>
      <w:r>
        <w:rPr>
          <w:rFonts w:ascii="Times" w:hAnsi="Times" w:eastAsia="Times"/>
          <w:b w:val="0"/>
          <w:i w:val="0"/>
          <w:color w:val="221F1F"/>
          <w:sz w:val="20"/>
        </w:rPr>
        <w:t>have committed such contempt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p>
      <w:pPr>
        <w:autoSpaceDN w:val="0"/>
        <w:tabs>
          <w:tab w:pos="3504" w:val="left"/>
        </w:tabs>
        <w:autoSpaceDE w:val="0"/>
        <w:widowControl/>
        <w:spacing w:line="266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a rule to be issued on such person signed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Registrar of the Court, giving particulars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of the contempt of court, 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institution, with which he is charged;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216" w:val="left"/>
          <w:tab w:pos="6014" w:val="left"/>
        </w:tabs>
        <w:autoSpaceDE w:val="0"/>
        <w:widowControl/>
        <w:spacing w:line="257" w:lineRule="auto" w:before="0" w:after="0"/>
        <w:ind w:left="20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66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 that such rule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 copy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or motion and document made or filed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be served personally on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0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fix a date for the hearing of the charge.</w:t>
      </w:r>
    </w:p>
    <w:p>
      <w:pPr>
        <w:autoSpaceDN w:val="0"/>
        <w:autoSpaceDE w:val="0"/>
        <w:widowControl/>
        <w:spacing w:line="269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On the date fixed for the hearing of the charge,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may lead the evidence of such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document filed under subsection (1),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subject to the right of cross-examination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person charged with contempt.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Court of Appeal shall hear and determine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after considering the affidavit filed by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charged with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or after hearing the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adduced by such person, as the case may be.</w:t>
      </w:r>
    </w:p>
    <w:p>
      <w:pPr>
        <w:autoSpaceDN w:val="0"/>
        <w:tabs>
          <w:tab w:pos="1676" w:val="left"/>
        </w:tabs>
        <w:autoSpaceDE w:val="0"/>
        <w:widowControl/>
        <w:spacing w:line="257" w:lineRule="auto" w:before="30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the Court of Appeal may direct that-</w:t>
      </w:r>
    </w:p>
    <w:p>
      <w:pPr>
        <w:autoSpaceDN w:val="0"/>
        <w:tabs>
          <w:tab w:pos="2336" w:val="left"/>
        </w:tabs>
        <w:autoSpaceDE w:val="0"/>
        <w:widowControl/>
        <w:spacing w:line="264" w:lineRule="auto" w:before="302" w:after="0"/>
        <w:ind w:left="18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charged with contempt of a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detained in such custody as it may specify; or</w:t>
      </w:r>
    </w:p>
    <w:p>
      <w:pPr>
        <w:autoSpaceDN w:val="0"/>
        <w:tabs>
          <w:tab w:pos="2336" w:val="left"/>
        </w:tabs>
        <w:autoSpaceDE w:val="0"/>
        <w:widowControl/>
        <w:spacing w:line="257" w:lineRule="auto" w:before="306" w:after="246"/>
        <w:ind w:left="18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be released on bail subject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it may deem fit to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4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of First Instance takes cognizance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contempt of court committed against, or in disrespect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Court of First Instance, such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subject to the provisions of subsections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and (3), hear and determine such matter in accordance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procedure set out in Chapter LXV 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exercise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jurisdiction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conferred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Courts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First Instance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try 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Civil Procedure Code.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54" w:lineRule="auto" w:before="24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 Where the Judge of</w:t>
      </w:r>
      <w:r>
        <w:rPr>
          <w:rFonts w:ascii="Times" w:hAnsi="Times" w:eastAsia="Times"/>
          <w:b w:val="0"/>
          <w:i w:val="0"/>
          <w:color w:val="221F1F"/>
          <w:sz w:val="20"/>
        </w:rPr>
        <w:t>a Court of First Instance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acts under section 795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Civil Procedure Code, 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uch Judge shall inquire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whether he wishes to be tried by a Judge other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Judge in whose presence or hearing the contempt of </w:t>
      </w:r>
      <w:r>
        <w:rPr>
          <w:rFonts w:ascii="Times" w:hAnsi="Times" w:eastAsia="Times"/>
          <w:b w:val="0"/>
          <w:i w:val="0"/>
          <w:color w:val="221F1F"/>
          <w:sz w:val="20"/>
        </w:rPr>
        <w:t>court is alleged to have been committed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54" w:lineRule="auto" w:before="26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accused indicates to the Judge of such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Instance, in response to the inquiry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orally or in writing, that he wishes to be tried by a Judge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Judge in whose presence or hearing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alleged to have been committed,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shall cause the matter to be placed, together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minutes of the facts recorded by such Judge, before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for such directions as the Chief Justice may think fit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with regard to the hearing of the charge. 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2" w:lineRule="auto" w:before="26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Appeals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12.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 appeal may lie from any order or decision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 in the exercise of its jurisdiction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punish for contempt of itself and a Court of First Instance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or institution, as the case may be, to the Supreme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3024" w:val="left"/>
        </w:tabs>
        <w:autoSpaceDE w:val="0"/>
        <w:widowControl/>
        <w:spacing w:line="247" w:lineRule="auto" w:before="26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Supreme Court may, pending any appeal, order </w:t>
      </w:r>
      <w:r>
        <w:rPr>
          <w:rFonts w:ascii="Times" w:hAnsi="Times" w:eastAsia="Times"/>
          <w:b w:val="0"/>
          <w:i w:val="0"/>
          <w:color w:val="221F1F"/>
          <w:sz w:val="20"/>
        </w:rPr>
        <w:t>that–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execution of the punishment, or the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appealed against be suspended; or 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appellant, if 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confinement, be released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bail.</w:t>
      </w:r>
    </w:p>
    <w:p>
      <w:pPr>
        <w:autoSpaceDN w:val="0"/>
        <w:autoSpaceDE w:val="0"/>
        <w:widowControl/>
        <w:spacing w:line="254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person who is aggrieved by any order or </w:t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of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First Instance, against which an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filed, indicates to such Court of First Instance that he </w:t>
      </w:r>
      <w:r>
        <w:rPr>
          <w:rFonts w:ascii="Times" w:hAnsi="Times" w:eastAsia="Times"/>
          <w:b w:val="0"/>
          <w:i w:val="0"/>
          <w:color w:val="221F1F"/>
          <w:sz w:val="20"/>
        </w:rPr>
        <w:t>intends to prefer an appeal against such order or decision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of Appeal, such Court of First Instance shall, until </w:t>
      </w:r>
      <w:r>
        <w:rPr>
          <w:rFonts w:ascii="Times" w:hAnsi="Times" w:eastAsia="Times"/>
          <w:b w:val="0"/>
          <w:i w:val="0"/>
          <w:color w:val="221F1F"/>
          <w:sz w:val="20"/>
        </w:rPr>
        <w:t>the expiry of the time limit for the filing of the appeal, order–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216" w:val="left"/>
          <w:tab w:pos="6014" w:val="left"/>
        </w:tabs>
        <w:autoSpaceDE w:val="0"/>
        <w:widowControl/>
        <w:spacing w:line="257" w:lineRule="auto" w:before="0" w:after="0"/>
        <w:ind w:left="20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57" w:lineRule="auto" w:before="260" w:after="0"/>
        <w:ind w:left="1872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execution of the punishment, or the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appealed against be suspended; or</w:t>
      </w:r>
    </w:p>
    <w:p>
      <w:pPr>
        <w:autoSpaceDN w:val="0"/>
        <w:tabs>
          <w:tab w:pos="2378" w:val="left"/>
        </w:tabs>
        <w:autoSpaceDE w:val="0"/>
        <w:widowControl/>
        <w:spacing w:line="257" w:lineRule="auto" w:before="302" w:after="246"/>
        <w:ind w:left="2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appellant, if he is in confinement, be released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court shall not initiate any proceedings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relation to contempt of a court, tribunal or institution,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its own motion or otherwise, after the expiry of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one year from the date on which such contempt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formally brought to the attention of that court.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court, tribunal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institution</w:t>
            </w:r>
          </w:p>
        </w:tc>
      </w:tr>
    </w:tbl>
    <w:p>
      <w:pPr>
        <w:autoSpaceDN w:val="0"/>
        <w:autoSpaceDE w:val="0"/>
        <w:widowControl/>
        <w:spacing w:line="269" w:lineRule="auto" w:before="246" w:after="24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tribunal or institution shall not refer to the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any matter relating to the contempt of such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institution, after the expiry of a period of one year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such contempt was formally brought to </w:t>
      </w:r>
      <w:r>
        <w:rPr>
          <w:rFonts w:ascii="Times" w:hAnsi="Times" w:eastAsia="Times"/>
          <w:b w:val="0"/>
          <w:i w:val="0"/>
          <w:color w:val="221F1F"/>
          <w:sz w:val="20"/>
        </w:rPr>
        <w:t>the attention of that tribunal or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contempt of a court, tribunal or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committed by a body of persons, then-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court, tribunal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institution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body corporate, every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manager or secretary of that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the time of the commission of such contempt;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firm, every partner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firm at the time of the commission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contempt; and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30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an unincorporated body,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individual who is a member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at the time of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contempt,</w:t>
      </w:r>
    </w:p>
    <w:p>
      <w:pPr>
        <w:autoSpaceDN w:val="0"/>
        <w:autoSpaceDE w:val="0"/>
        <w:widowControl/>
        <w:spacing w:line="235" w:lineRule="auto" w:before="30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contempt: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376" w:val="left"/>
          <w:tab w:pos="4562" w:val="left"/>
        </w:tabs>
        <w:autoSpaceDE w:val="0"/>
        <w:widowControl/>
        <w:spacing w:line="257" w:lineRule="auto" w:before="0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69" w:lineRule="auto" w:before="250" w:after="254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director, manager or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body corporate or any partner of such firm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of such unincorporated body shall not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committed such contempt if he proves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such contempt was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his knowledge or that he exercised all due diligence </w:t>
      </w:r>
      <w:r>
        <w:rPr>
          <w:rFonts w:ascii="Times" w:hAnsi="Times" w:eastAsia="Times"/>
          <w:b w:val="0"/>
          <w:i w:val="0"/>
          <w:color w:val="221F1F"/>
          <w:sz w:val="20"/>
        </w:rPr>
        <w:t>to prevent the commission of such contempt.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law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6" w:after="0"/>
              <w:ind w:left="3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 shall have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contained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and accordingly, in the event of any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inconsistency between the provisions of this Act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law, the provisions of this Act shall prevail.</w:t>
      </w:r>
    </w:p>
    <w:p>
      <w:pPr>
        <w:autoSpaceDN w:val="0"/>
        <w:tabs>
          <w:tab w:pos="3022" w:val="left"/>
        </w:tabs>
        <w:autoSpaceDE w:val="0"/>
        <w:widowControl/>
        <w:spacing w:line="238" w:lineRule="auto" w:before="32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16.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requires –</w:t>
      </w:r>
    </w:p>
    <w:p>
      <w:pPr>
        <w:autoSpaceDN w:val="0"/>
        <w:tabs>
          <w:tab w:pos="3802" w:val="left"/>
        </w:tabs>
        <w:autoSpaceDE w:val="0"/>
        <w:widowControl/>
        <w:spacing w:line="262" w:lineRule="auto" w:before="322" w:after="0"/>
        <w:ind w:left="33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“Civil Procedure Code” means, the Civil Procedure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(Chapter 101); </w:t>
      </w:r>
    </w:p>
    <w:p>
      <w:pPr>
        <w:autoSpaceDN w:val="0"/>
        <w:autoSpaceDE w:val="0"/>
        <w:widowControl/>
        <w:spacing w:line="278" w:lineRule="auto" w:before="320" w:after="0"/>
        <w:ind w:left="380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“Court of First Instance” means, the High Court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Lanka, the High Court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Province 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Constitution, the District Court, the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the Small Claims Court, the Magistrate’s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or</w:t>
      </w:r>
      <w:r>
        <w:rPr>
          <w:rFonts w:ascii="Times" w:hAnsi="Times" w:eastAsia="Times"/>
          <w:b w:val="0"/>
          <w:i w:val="0"/>
          <w:color w:val="221F1F"/>
          <w:sz w:val="20"/>
        </w:rPr>
        <w:t>the Primary Court;</w:t>
      </w:r>
    </w:p>
    <w:p>
      <w:pPr>
        <w:autoSpaceDN w:val="0"/>
        <w:autoSpaceDE w:val="0"/>
        <w:widowControl/>
        <w:spacing w:line="274" w:lineRule="auto" w:before="320" w:after="0"/>
        <w:ind w:left="380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“institution” means, an institution created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written law for the administration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 and for the adjudication and settlement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industrial and other disputes;</w:t>
      </w:r>
    </w:p>
    <w:p>
      <w:pPr>
        <w:autoSpaceDN w:val="0"/>
        <w:autoSpaceDE w:val="0"/>
        <w:widowControl/>
        <w:spacing w:line="274" w:lineRule="auto" w:before="320" w:after="0"/>
        <w:ind w:left="380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“publish” means, to disseminate, distribute, exhibit,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communicate by oral, visual, written,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or other means including by way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newspaper, radio, television or through the use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216" w:val="left"/>
          <w:tab w:pos="6014" w:val="left"/>
        </w:tabs>
        <w:autoSpaceDE w:val="0"/>
        <w:widowControl/>
        <w:spacing w:line="257" w:lineRule="auto" w:before="0" w:after="0"/>
        <w:ind w:left="203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76" w:lineRule="auto" w:before="264" w:after="0"/>
        <w:ind w:left="24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internet or other online 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system, to the public at large or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public, and includes causing to be published,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“publication” is to be construed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accordingly; and</w:t>
      </w:r>
    </w:p>
    <w:p>
      <w:pPr>
        <w:autoSpaceDN w:val="0"/>
        <w:autoSpaceDE w:val="0"/>
        <w:widowControl/>
        <w:spacing w:line="264" w:lineRule="auto" w:before="304" w:after="232"/>
        <w:ind w:left="245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“tribunal” means, a tribunal created and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written law for the administration of justice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adjudication and settlement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and other disputes.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9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2024</w:t>
      </w:r>
    </w:p>
    <w:p>
      <w:pPr>
        <w:autoSpaceDN w:val="0"/>
        <w:autoSpaceDE w:val="0"/>
        <w:widowControl/>
        <w:spacing w:line="245" w:lineRule="auto" w:before="891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