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718" w:after="0"/>
        <w:ind w:left="200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SRI BALABHIVURDHI WARDANA SOCIETY</w:t>
      </w:r>
    </w:p>
    <w:p>
      <w:pPr>
        <w:autoSpaceDN w:val="0"/>
        <w:autoSpaceDE w:val="0"/>
        <w:widowControl/>
        <w:spacing w:line="238" w:lineRule="auto" w:before="16" w:after="0"/>
        <w:ind w:left="0" w:right="218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(INCORPORATION) ACT, No. 12 OF 2024</w:t>
      </w:r>
    </w:p>
    <w:p>
      <w:pPr>
        <w:autoSpaceDN w:val="0"/>
        <w:autoSpaceDE w:val="0"/>
        <w:widowControl/>
        <w:spacing w:line="235" w:lineRule="auto" w:before="1072" w:after="0"/>
        <w:ind w:left="0" w:right="28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19th of  February,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35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March 01,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14" w:val="left"/>
        </w:tabs>
        <w:autoSpaceDE w:val="0"/>
        <w:widowControl/>
        <w:spacing w:line="235" w:lineRule="auto" w:before="212" w:after="0"/>
        <w:ind w:left="145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238" w:after="0"/>
        <w:ind w:left="145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90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4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Balabhivurdhi Wardana Society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371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12 of 2024</w:t>
      </w:r>
    </w:p>
    <w:p>
      <w:pPr>
        <w:autoSpaceDN w:val="0"/>
        <w:autoSpaceDE w:val="0"/>
        <w:widowControl/>
        <w:spacing w:line="235" w:lineRule="auto" w:before="258" w:after="0"/>
        <w:ind w:left="0" w:right="36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19th of February, 2024]</w:t>
      </w:r>
    </w:p>
    <w:p>
      <w:pPr>
        <w:autoSpaceDN w:val="0"/>
        <w:autoSpaceDE w:val="0"/>
        <w:widowControl/>
        <w:spacing w:line="238" w:lineRule="auto" w:before="10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(Inc. 14/2013)</w:t>
      </w:r>
    </w:p>
    <w:p>
      <w:pPr>
        <w:autoSpaceDN w:val="0"/>
        <w:autoSpaceDE w:val="0"/>
        <w:widowControl/>
        <w:spacing w:line="238" w:lineRule="auto" w:before="106" w:after="188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ALABHIVURDHI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ARDANA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OCIETY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WHEREAS a Society called and known as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“Sri Balabhivurdhi Wardana Society” has heretofore been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in Sri Lanka for the purpose of effectually carrying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its objects and transacting all matters connected  with the </w:t>
      </w:r>
      <w:r>
        <w:rPr>
          <w:rFonts w:ascii="Times" w:hAnsi="Times" w:eastAsia="Times"/>
          <w:b w:val="0"/>
          <w:i w:val="0"/>
          <w:color w:val="221F1F"/>
          <w:sz w:val="20"/>
        </w:rPr>
        <w:t>said Society according to the rules agreed to, by its members:</w:t>
      </w:r>
    </w:p>
    <w:p>
      <w:pPr>
        <w:autoSpaceDN w:val="0"/>
        <w:autoSpaceDE w:val="0"/>
        <w:widowControl/>
        <w:spacing w:line="245" w:lineRule="auto" w:before="242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Society has heretofore successfully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carried out and transacted the several objects and matters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it was established and has applied to be incorporated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it will be for the public advantage to grant the said </w:t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45" w:lineRule="auto" w:before="242" w:after="18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Sri Balabhivurdhi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Wardana Society (Incorporation) Act, No. 12 of 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22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2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From and after the date of commencement of this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and so many persons as now are members of  the Sri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Balabhivurdhi Wardana Society (hereinafter in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referred to as the “Society”) and shall hereafter be admitted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body corporate hereby constituted shall have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Incorporation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Sri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Balabhivurdhi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Wardana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Society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perpetual succession under the name and style of 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“Sri Balabhivurdhi Wardana Society” (hereinafter  referred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 “body corporate”) and by that name may sue and be sued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full power and authority to have, and  use a common seal </w:t>
      </w:r>
      <w:r>
        <w:rPr>
          <w:rFonts w:ascii="Times" w:hAnsi="Times" w:eastAsia="Times"/>
          <w:b w:val="0"/>
          <w:i w:val="0"/>
          <w:color w:val="221F1F"/>
          <w:sz w:val="20"/>
        </w:rPr>
        <w:t>and to  alter the same at its pleasure.</w:t>
      </w:r>
    </w:p>
    <w:p>
      <w:pPr>
        <w:autoSpaceDN w:val="0"/>
        <w:autoSpaceDE w:val="0"/>
        <w:widowControl/>
        <w:spacing w:line="245" w:lineRule="auto" w:before="24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be deemed to be a Voluntary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 within the meaning, and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the Voluntary Social Service Organizations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(Registration and Supervision) Act, No. 31 of 1980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that Act shall apply to and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14" w:val="left"/>
        </w:tabs>
        <w:autoSpaceDE w:val="0"/>
        <w:widowControl/>
        <w:spacing w:line="235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Balabhivurdhi Wardana Society</w:t>
      </w:r>
    </w:p>
    <w:p>
      <w:pPr>
        <w:autoSpaceDN w:val="0"/>
        <w:autoSpaceDE w:val="0"/>
        <w:widowControl/>
        <w:spacing w:line="238" w:lineRule="auto" w:before="44" w:after="164"/>
        <w:ind w:left="0" w:right="23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12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786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2" w:val="left"/>
              </w:tabs>
              <w:autoSpaceDE w:val="0"/>
              <w:widowControl/>
              <w:spacing w:line="247" w:lineRule="auto" w:before="60" w:after="0"/>
              <w:ind w:left="26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general objects for which the body corporate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338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carryout various commemorative activities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memory of Arahath Mahinda who was instrumental </w:t>
      </w:r>
      <w:r>
        <w:rPr>
          <w:rFonts w:ascii="Times" w:hAnsi="Times" w:eastAsia="Times"/>
          <w:b w:val="0"/>
          <w:i w:val="0"/>
          <w:color w:val="221F1F"/>
          <w:sz w:val="20"/>
        </w:rPr>
        <w:t>in the setting up of the Budha Sasana in Sri Lanka;</w:t>
      </w:r>
    </w:p>
    <w:p>
      <w:pPr>
        <w:autoSpaceDN w:val="0"/>
        <w:autoSpaceDE w:val="0"/>
        <w:widowControl/>
        <w:spacing w:line="252" w:lineRule="auto" w:before="264" w:after="0"/>
        <w:ind w:left="338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assist the relevant authorities to undertake road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and housing schemes, the construction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improvement of hospitals, educational centers, </w:t>
      </w:r>
      <w:r>
        <w:rPr>
          <w:rFonts w:ascii="Times" w:hAnsi="Times" w:eastAsia="Times"/>
          <w:b w:val="0"/>
          <w:i w:val="0"/>
          <w:color w:val="221F1F"/>
          <w:sz w:val="20"/>
        </w:rPr>
        <w:t>schools, pirivenas and community centers;</w:t>
      </w:r>
    </w:p>
    <w:p>
      <w:pPr>
        <w:autoSpaceDN w:val="0"/>
        <w:tabs>
          <w:tab w:pos="3382" w:val="left"/>
        </w:tabs>
        <w:autoSpaceDE w:val="0"/>
        <w:widowControl/>
        <w:spacing w:line="247" w:lineRule="auto" w:before="266" w:after="0"/>
        <w:ind w:left="305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assist the relevant authorities to establish, equip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maintain pre-school and libraries;</w:t>
      </w:r>
    </w:p>
    <w:p>
      <w:pPr>
        <w:autoSpaceDN w:val="0"/>
        <w:autoSpaceDE w:val="0"/>
        <w:widowControl/>
        <w:spacing w:line="252" w:lineRule="auto" w:before="264" w:after="0"/>
        <w:ind w:left="338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engage in the dissemination of Dhamma,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internationally and the dissemination of Buddhist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Philosophy and the Buddhist way of life among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Buddhists and to establish friendly relations with </w:t>
      </w:r>
      <w:r>
        <w:rPr>
          <w:rFonts w:ascii="Times" w:hAnsi="Times" w:eastAsia="Times"/>
          <w:b w:val="0"/>
          <w:i w:val="0"/>
          <w:color w:val="221F1F"/>
          <w:sz w:val="20"/>
        </w:rPr>
        <w:t>other Buddhist Organizations in Sri Lanka or abroad;</w:t>
      </w:r>
    </w:p>
    <w:p>
      <w:pPr>
        <w:autoSpaceDN w:val="0"/>
        <w:autoSpaceDE w:val="0"/>
        <w:widowControl/>
        <w:spacing w:line="250" w:lineRule="auto" w:before="264" w:after="0"/>
        <w:ind w:left="338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assist the relevant authorities to provide medical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aid, food and housing to the poor, the destitute and </w:t>
      </w:r>
      <w:r>
        <w:rPr>
          <w:rFonts w:ascii="Times" w:hAnsi="Times" w:eastAsia="Times"/>
          <w:b w:val="0"/>
          <w:i w:val="0"/>
          <w:color w:val="221F1F"/>
          <w:sz w:val="20"/>
        </w:rPr>
        <w:t>the sick;</w:t>
      </w:r>
    </w:p>
    <w:p>
      <w:pPr>
        <w:autoSpaceDN w:val="0"/>
        <w:autoSpaceDE w:val="0"/>
        <w:widowControl/>
        <w:spacing w:line="252" w:lineRule="auto" w:before="264" w:after="0"/>
        <w:ind w:left="3382" w:right="143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assist the relevant authorities to establish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 orphanages and homes for the aged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welfare centers and to provide welfare facilities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deaf, dumb and the blind and disabled persons;</w:t>
      </w:r>
    </w:p>
    <w:p>
      <w:pPr>
        <w:autoSpaceDN w:val="0"/>
        <w:autoSpaceDE w:val="0"/>
        <w:widowControl/>
        <w:spacing w:line="250" w:lineRule="auto" w:before="266" w:after="0"/>
        <w:ind w:left="338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grant financial assistance or scholarships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voluntary workers who are engaged in the attainment </w:t>
      </w:r>
      <w:r>
        <w:rPr>
          <w:rFonts w:ascii="Times" w:hAnsi="Times" w:eastAsia="Times"/>
          <w:b w:val="0"/>
          <w:i w:val="0"/>
          <w:color w:val="221F1F"/>
          <w:sz w:val="20"/>
        </w:rPr>
        <w:t>of the objects of the body corporate;</w:t>
      </w:r>
    </w:p>
    <w:p>
      <w:pPr>
        <w:autoSpaceDN w:val="0"/>
        <w:autoSpaceDE w:val="0"/>
        <w:widowControl/>
        <w:spacing w:line="257" w:lineRule="auto" w:before="266" w:after="0"/>
        <w:ind w:left="338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assist the relevant authorities to provide bursaries,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scholarships, prizes, donations, financial aid and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assistance to needy and deserving students for the </w:t>
      </w:r>
      <w:r>
        <w:rPr>
          <w:rFonts w:ascii="Times" w:hAnsi="Times" w:eastAsia="Times"/>
          <w:b w:val="0"/>
          <w:i w:val="0"/>
          <w:color w:val="221F1F"/>
          <w:sz w:val="20"/>
        </w:rPr>
        <w:t>advancement of education and knowledge;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59" w:lineRule="auto" w:before="0" w:after="0"/>
        <w:ind w:left="236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Balabhivurdhi Wardana Society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12 of 2024</w:t>
      </w:r>
    </w:p>
    <w:p>
      <w:pPr>
        <w:autoSpaceDN w:val="0"/>
        <w:autoSpaceDE w:val="0"/>
        <w:widowControl/>
        <w:spacing w:line="259" w:lineRule="auto" w:before="240" w:after="0"/>
        <w:ind w:left="2038" w:right="278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collaborate with any other institution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organization, whether foreign or local, having objects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similar to those of the body corporate; and</w:t>
      </w:r>
    </w:p>
    <w:p>
      <w:pPr>
        <w:autoSpaceDN w:val="0"/>
        <w:autoSpaceDE w:val="0"/>
        <w:widowControl/>
        <w:spacing w:line="262" w:lineRule="auto" w:before="284" w:after="0"/>
        <w:ind w:left="2038" w:right="278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sponsor and conduct conferences, seminars,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workshops, group studies and lectures and to print,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 and distribute books, journals, leaflets,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newspapers and magazines which the body corporate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consider desirable for the promotion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advancement of its objects.</w:t>
      </w:r>
    </w:p>
    <w:p>
      <w:pPr>
        <w:autoSpaceDN w:val="0"/>
        <w:autoSpaceDE w:val="0"/>
        <w:widowControl/>
        <w:spacing w:line="262" w:lineRule="auto" w:before="286" w:after="226"/>
        <w:ind w:left="1438" w:right="2782" w:firstLine="1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implementation of the objects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body corporate shall ensure that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shall be carried out without any distinction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on race, religion, language, caste, sex, political opinion, </w:t>
      </w:r>
      <w:r>
        <w:rPr>
          <w:rFonts w:ascii="Times" w:hAnsi="Times" w:eastAsia="Times"/>
          <w:b w:val="0"/>
          <w:i w:val="0"/>
          <w:color w:val="221F1F"/>
          <w:sz w:val="20"/>
        </w:rPr>
        <w:t>place of birth or any of such grounds.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body corporate shall be carried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ensure no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conflict 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work of Ministry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Department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Provincial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Council</w:t>
            </w:r>
          </w:p>
          <w:p>
            <w:pPr>
              <w:autoSpaceDN w:val="0"/>
              <w:autoSpaceDE w:val="0"/>
              <w:widowControl/>
              <w:spacing w:line="238" w:lineRule="auto" w:before="30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 of</w:t>
            </w:r>
          </w:p>
          <w:p>
            <w:pPr>
              <w:autoSpaceDN w:val="0"/>
              <w:autoSpaceDE w:val="0"/>
              <w:widowControl/>
              <w:spacing w:line="238" w:lineRule="auto" w:before="1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 of the</w:t>
            </w:r>
          </w:p>
          <w:p>
            <w:pPr>
              <w:autoSpaceDN w:val="0"/>
              <w:autoSpaceDE w:val="0"/>
              <w:widowControl/>
              <w:spacing w:line="238" w:lineRule="auto" w:before="1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</w:tr>
      <w:tr>
        <w:trPr>
          <w:trHeight w:hRule="exact" w:val="206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8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out in such manner so as not to create any conflict between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work of the body corporate and any work being carried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out simultaneously by any Ministry or Department of 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of any Provincial Council.</w:t>
            </w:r>
          </w:p>
          <w:p>
            <w:pPr>
              <w:autoSpaceDN w:val="0"/>
              <w:autoSpaceDE w:val="0"/>
              <w:widowControl/>
              <w:spacing w:line="257" w:lineRule="auto" w:before="286" w:after="0"/>
              <w:ind w:left="738" w:right="1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this Act, and the rules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under section 7, the management and administration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affairs of the body corporate shall be carried out by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6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Governing Council  (hereinafter referred to as the “Council”)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consisting of such number of office bearers as may be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rules made under section 7.</w:t>
      </w:r>
    </w:p>
    <w:p>
      <w:pPr>
        <w:autoSpaceDN w:val="0"/>
        <w:autoSpaceDE w:val="0"/>
        <w:widowControl/>
        <w:spacing w:line="259" w:lineRule="auto" w:before="284" w:after="0"/>
        <w:ind w:left="1436" w:right="2782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members of the Council of the Society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office on the day immediately preceding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 shall, function as an Interim</w:t>
      </w:r>
    </w:p>
    <w:p>
      <w:pPr>
        <w:autoSpaceDN w:val="0"/>
        <w:autoSpaceDE w:val="0"/>
        <w:widowControl/>
        <w:spacing w:line="235" w:lineRule="auto" w:before="66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Council of the body corporate until the first Council is</w:t>
      </w:r>
    </w:p>
    <w:p>
      <w:pPr>
        <w:autoSpaceDN w:val="0"/>
        <w:autoSpaceDE w:val="0"/>
        <w:widowControl/>
        <w:spacing w:line="235" w:lineRule="auto" w:before="86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appointed or elected in the manner provided for by rules</w:t>
      </w:r>
    </w:p>
    <w:p>
      <w:pPr>
        <w:autoSpaceDN w:val="0"/>
        <w:autoSpaceDE w:val="0"/>
        <w:widowControl/>
        <w:spacing w:line="238" w:lineRule="auto" w:before="66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made under section 7.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14" w:val="left"/>
          <w:tab w:pos="3722" w:val="left"/>
        </w:tabs>
        <w:autoSpaceDE w:val="0"/>
        <w:widowControl/>
        <w:spacing w:line="259" w:lineRule="auto" w:before="0" w:after="0"/>
        <w:ind w:left="27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Balabhivurdhi Wardana Society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12 of 2024</w:t>
      </w:r>
    </w:p>
    <w:p>
      <w:pPr>
        <w:autoSpaceDN w:val="0"/>
        <w:autoSpaceDE w:val="0"/>
        <w:widowControl/>
        <w:spacing w:line="281" w:lineRule="auto" w:before="25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Interim Council shall have the power to make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for the interim administration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for election or appointment of the members of the first </w:t>
      </w:r>
      <w:r>
        <w:rPr>
          <w:rFonts w:ascii="Times" w:hAnsi="Times" w:eastAsia="Times"/>
          <w:b w:val="0"/>
          <w:i w:val="0"/>
          <w:color w:val="221F1F"/>
          <w:sz w:val="20"/>
        </w:rPr>
        <w:t>Council of the body corporate.</w:t>
      </w:r>
    </w:p>
    <w:p>
      <w:pPr>
        <w:autoSpaceDN w:val="0"/>
        <w:tabs>
          <w:tab w:pos="3022" w:val="left"/>
        </w:tabs>
        <w:autoSpaceDE w:val="0"/>
        <w:widowControl/>
        <w:spacing w:line="266" w:lineRule="auto" w:before="340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Any decision of the Interim Council shall be taken by </w:t>
      </w:r>
      <w:r>
        <w:rPr>
          <w:rFonts w:ascii="Times" w:hAnsi="Times" w:eastAsia="Times"/>
          <w:b w:val="0"/>
          <w:i w:val="0"/>
          <w:color w:val="221F1F"/>
          <w:sz w:val="20"/>
        </w:rPr>
        <w:t>the majority of its members present at any meeting.</w:t>
      </w:r>
    </w:p>
    <w:p>
      <w:pPr>
        <w:autoSpaceDN w:val="0"/>
        <w:autoSpaceDE w:val="0"/>
        <w:widowControl/>
        <w:spacing w:line="276" w:lineRule="auto" w:before="34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The first Council of the body corporate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 within one year of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autoSpaceDN w:val="0"/>
        <w:autoSpaceDE w:val="0"/>
        <w:widowControl/>
        <w:spacing w:line="283" w:lineRule="auto" w:before="34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office bearer of the Council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patrons and advisers, if any shall be appointed or elected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period of three years and any such office bearer, patron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advisor shall be eligible for re-appointment or re-election </w:t>
      </w:r>
      <w:r>
        <w:rPr>
          <w:rFonts w:ascii="Times" w:hAnsi="Times" w:eastAsia="Times"/>
          <w:b w:val="0"/>
          <w:i w:val="0"/>
          <w:color w:val="221F1F"/>
          <w:sz w:val="20"/>
        </w:rPr>
        <w:t>after lapse of the said period of three years.</w:t>
      </w:r>
    </w:p>
    <w:p>
      <w:pPr>
        <w:autoSpaceDN w:val="0"/>
        <w:autoSpaceDE w:val="0"/>
        <w:widowControl/>
        <w:spacing w:line="281" w:lineRule="auto" w:before="34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Council shall having regard to the rules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corporate, elect or appoint a person to fill such vacancy.</w:t>
      </w:r>
    </w:p>
    <w:p>
      <w:pPr>
        <w:autoSpaceDN w:val="0"/>
        <w:autoSpaceDE w:val="0"/>
        <w:widowControl/>
        <w:spacing w:line="269" w:lineRule="auto" w:before="338" w:after="206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hold office only for the unexpired portion of the term of </w:t>
      </w:r>
      <w:r>
        <w:rPr>
          <w:rFonts w:ascii="Times" w:hAnsi="Times" w:eastAsia="Times"/>
          <w:b w:val="0"/>
          <w:i w:val="0"/>
          <w:color w:val="221F1F"/>
          <w:sz w:val="20"/>
        </w:rPr>
        <w:t>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power—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purchase, rent, construct, renovate or otherwise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lands or buildings which may be required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purposes of the body corporate and to deal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 or dispose of the same as may be determined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35" w:lineRule="auto" w:before="0" w:after="0"/>
        <w:ind w:left="236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Balabhivurdhi Wardana Society </w:t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8" w:lineRule="auto" w:before="44" w:after="0"/>
        <w:ind w:left="0" w:right="371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12 of 2024</w:t>
      </w:r>
    </w:p>
    <w:p>
      <w:pPr>
        <w:autoSpaceDN w:val="0"/>
        <w:autoSpaceDE w:val="0"/>
        <w:widowControl/>
        <w:spacing w:line="250" w:lineRule="auto" w:before="228" w:after="0"/>
        <w:ind w:left="215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Council with a view to promoting the objects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57" w:lineRule="auto" w:before="272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 into and perform or carry out, whether directly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through any officer or agent authorized in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by the body corporate, all such contracts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as may be necessary for the attainment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objects or the exercise of the powers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corporate;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54" w:lineRule="auto" w:before="272" w:after="0"/>
        <w:ind w:left="17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borrow or raise funds with or without securities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receive grants, gifts or donations from local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foreign sources in cash or kind :</w:t>
      </w:r>
    </w:p>
    <w:p>
      <w:pPr>
        <w:autoSpaceDN w:val="0"/>
        <w:autoSpaceDE w:val="0"/>
        <w:widowControl/>
        <w:spacing w:line="254" w:lineRule="auto" w:before="272" w:after="0"/>
        <w:ind w:left="2158" w:right="2782" w:firstLine="20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Council shall obtain the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in respect of all foreign grants, gifts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donations made to the body corporate;</w:t>
      </w:r>
    </w:p>
    <w:p>
      <w:pPr>
        <w:autoSpaceDN w:val="0"/>
        <w:tabs>
          <w:tab w:pos="2156" w:val="left"/>
          <w:tab w:pos="2166" w:val="left"/>
        </w:tabs>
        <w:autoSpaceDE w:val="0"/>
        <w:widowControl/>
        <w:spacing w:line="257" w:lineRule="auto" w:before="274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make, draw, accept, discount, endorse, negotiate,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operate, maintain and close accounts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any bank;</w:t>
      </w:r>
    </w:p>
    <w:p>
      <w:pPr>
        <w:autoSpaceDN w:val="0"/>
        <w:tabs>
          <w:tab w:pos="2156" w:val="left"/>
          <w:tab w:pos="2166" w:val="left"/>
        </w:tabs>
        <w:autoSpaceDE w:val="0"/>
        <w:widowControl/>
        <w:spacing w:line="252" w:lineRule="auto" w:before="274" w:after="0"/>
        <w:ind w:left="17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 any funds that are not immediately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purposes of the body corporate,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manner as the Council may determine;</w:t>
      </w:r>
    </w:p>
    <w:p>
      <w:pPr>
        <w:autoSpaceDN w:val="0"/>
        <w:tabs>
          <w:tab w:pos="2156" w:val="left"/>
          <w:tab w:pos="2158" w:val="left"/>
          <w:tab w:pos="2166" w:val="left"/>
        </w:tabs>
        <w:autoSpaceDE w:val="0"/>
        <w:widowControl/>
        <w:spacing w:line="257" w:lineRule="auto" w:before="272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undertake, accept, execute, perform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administer any lawful trust having objects similar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body corporate or any real or personal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with a view to promoting the objects of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54" w:lineRule="auto" w:before="280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appoint, employ, dismiss or terminate the services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officers and other employees of the body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14" w:val="left"/>
        </w:tabs>
        <w:autoSpaceDE w:val="0"/>
        <w:widowControl/>
        <w:spacing w:line="235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Balabhivurdhi Wardana Society</w:t>
      </w:r>
    </w:p>
    <w:p>
      <w:pPr>
        <w:autoSpaceDN w:val="0"/>
        <w:autoSpaceDE w:val="0"/>
        <w:widowControl/>
        <w:spacing w:line="238" w:lineRule="auto" w:before="44" w:after="0"/>
        <w:ind w:left="0" w:right="23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12 of 2024</w:t>
      </w:r>
    </w:p>
    <w:p>
      <w:pPr>
        <w:autoSpaceDN w:val="0"/>
        <w:autoSpaceDE w:val="0"/>
        <w:widowControl/>
        <w:spacing w:line="247" w:lineRule="auto" w:before="222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and exercise disciplinary control over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and to pay them such salaries, allowances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gratuities as may be determined by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47" w:lineRule="auto" w:before="260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train personnel in Sri Lanka or abroad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purposes of the body corporate; and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45" w:lineRule="auto" w:before="254" w:after="242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do all other things as are necessary or expedient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proper and effective carrying out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objects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Rules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 corporate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body corporate, from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to time, at any general meeting of the body corporate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by a majority  of not less than two-thirds of the members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and voting, to make rules, not inconsistent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or any other written law, for all or any </w:t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matters:—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45" w:lineRule="auto" w:before="254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membership, admission,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expulsion or resignation of members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fees payable by such members;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47" w:lineRule="auto" w:before="254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office bearers of the Council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of office bearers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powers, duties and functions of the office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bearers;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45" w:lineRule="auto" w:before="254" w:after="0"/>
        <w:ind w:left="31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and conditions of appointment,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of the various officers, agents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servants of the body corporate;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47" w:lineRule="auto" w:before="254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followed for the summoning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body corporate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Council, notices and agenda of such meetings,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quorum and the conduct of business thereat;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45" w:lineRule="auto" w:before="254" w:after="0"/>
        <w:ind w:left="31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qualifications and disqualifications to be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 of the Council and the body corporate;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59" w:lineRule="auto" w:before="0" w:after="0"/>
        <w:ind w:left="236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Balabhivurdhi Wardana Society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12 of 2024</w:t>
      </w:r>
    </w:p>
    <w:p>
      <w:pPr>
        <w:autoSpaceDN w:val="0"/>
        <w:tabs>
          <w:tab w:pos="2156" w:val="left"/>
          <w:tab w:pos="2166" w:val="left"/>
        </w:tabs>
        <w:autoSpaceDE w:val="0"/>
        <w:widowControl/>
        <w:spacing w:line="250" w:lineRule="auto" w:before="228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 and</w:t>
      </w:r>
    </w:p>
    <w:p>
      <w:pPr>
        <w:autoSpaceDN w:val="0"/>
        <w:tabs>
          <w:tab w:pos="2156" w:val="left"/>
          <w:tab w:pos="2166" w:val="left"/>
        </w:tabs>
        <w:autoSpaceDE w:val="0"/>
        <w:widowControl/>
        <w:spacing w:line="254" w:lineRule="auto" w:before="276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generally, the management of the affairs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and the accomplishment of its objects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dissolution of the body corporate.</w:t>
      </w:r>
    </w:p>
    <w:p>
      <w:pPr>
        <w:autoSpaceDN w:val="0"/>
        <w:autoSpaceDE w:val="0"/>
        <w:widowControl/>
        <w:spacing w:line="257" w:lineRule="auto" w:before="27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body corporate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amended, altered, added to or rescinded at a like  meeting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like manner as a rule made under subsection (1) of </w:t>
      </w:r>
      <w:r>
        <w:rPr>
          <w:rFonts w:ascii="Times" w:hAnsi="Times" w:eastAsia="Times"/>
          <w:b w:val="0"/>
          <w:i w:val="0"/>
          <w:color w:val="221F1F"/>
          <w:sz w:val="20"/>
        </w:rPr>
        <w:t>this section.</w:t>
      </w:r>
    </w:p>
    <w:p>
      <w:pPr>
        <w:autoSpaceDN w:val="0"/>
        <w:autoSpaceDE w:val="0"/>
        <w:widowControl/>
        <w:spacing w:line="254" w:lineRule="auto" w:before="276" w:after="0"/>
        <w:ind w:left="1436" w:right="278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rule made under subsection (1),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within three months upon making of such </w:t>
      </w:r>
      <w:r>
        <w:rPr>
          <w:rFonts w:ascii="Times" w:hAnsi="Times" w:eastAsia="Times"/>
          <w:b w:val="0"/>
          <w:i w:val="0"/>
          <w:color w:val="221F1F"/>
          <w:sz w:val="20"/>
        </w:rPr>
        <w:t>rules and shall come into effect on the date thereof.</w:t>
      </w:r>
    </w:p>
    <w:p>
      <w:pPr>
        <w:autoSpaceDN w:val="0"/>
        <w:tabs>
          <w:tab w:pos="1678" w:val="left"/>
        </w:tabs>
        <w:autoSpaceDE w:val="0"/>
        <w:widowControl/>
        <w:spacing w:line="250" w:lineRule="auto" w:before="276" w:after="216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members of the body corporate shall at all times </w:t>
      </w:r>
      <w:r>
        <w:rPr>
          <w:rFonts w:ascii="Times" w:hAnsi="Times" w:eastAsia="Times"/>
          <w:b w:val="0"/>
          <w:i w:val="0"/>
          <w:color w:val="221F1F"/>
          <w:sz w:val="20"/>
        </w:rPr>
        <w:t>be subject to the rules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Council shall maintain a register of members in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3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6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name, address and other essential details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216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members shall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38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body corporate shall have its own fund and 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received by way of gifts, bequests, donations,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subscriptions, contributions, fees or grants for and on account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 shall be deposited in one or more banks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by the Council to the credit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>subject to the provisions of section 6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p>
      <w:pPr>
        <w:autoSpaceDN w:val="0"/>
        <w:autoSpaceDE w:val="0"/>
        <w:widowControl/>
        <w:spacing w:line="257" w:lineRule="auto" w:before="276" w:after="216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Fund, all such sums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as are required to defray any expenditure incurred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corporate in the exercise, performance and </w:t>
      </w:r>
      <w:r>
        <w:rPr>
          <w:rFonts w:ascii="Times" w:hAnsi="Times" w:eastAsia="Times"/>
          <w:b w:val="0"/>
          <w:i w:val="0"/>
          <w:color w:val="221F1F"/>
          <w:sz w:val="20"/>
        </w:rPr>
        <w:t>discharge of its powers,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</w:tr>
      <w:tr>
        <w:trPr>
          <w:trHeight w:hRule="exact" w:val="22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14" w:val="left"/>
          <w:tab w:pos="3722" w:val="left"/>
        </w:tabs>
        <w:autoSpaceDE w:val="0"/>
        <w:widowControl/>
        <w:spacing w:line="259" w:lineRule="auto" w:before="0" w:after="0"/>
        <w:ind w:left="27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Balabhivurdhi Wardana Society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12 of 2024</w:t>
      </w:r>
    </w:p>
    <w:p>
      <w:pPr>
        <w:autoSpaceDN w:val="0"/>
        <w:autoSpaceDE w:val="0"/>
        <w:widowControl/>
        <w:spacing w:line="254" w:lineRule="auto" w:before="23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body corporate.</w:t>
      </w:r>
    </w:p>
    <w:p>
      <w:pPr>
        <w:autoSpaceDN w:val="0"/>
        <w:autoSpaceDE w:val="0"/>
        <w:widowControl/>
        <w:spacing w:line="259" w:lineRule="auto" w:before="28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by the Auditor General or a qualified auditor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the Auditor General in terms of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Article 154 of the Constitution and be certified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Auditor General or a qualified auditor.</w:t>
      </w:r>
    </w:p>
    <w:p>
      <w:pPr>
        <w:autoSpaceDN w:val="0"/>
        <w:tabs>
          <w:tab w:pos="3022" w:val="left"/>
        </w:tabs>
        <w:autoSpaceDE w:val="0"/>
        <w:widowControl/>
        <w:spacing w:line="252" w:lineRule="auto" w:before="282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purposes of this section “a 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means–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7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Institute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 or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an Accountant, issued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Council of such Institute; or</w:t>
      </w:r>
    </w:p>
    <w:p>
      <w:pPr>
        <w:autoSpaceDN w:val="0"/>
        <w:tabs>
          <w:tab w:pos="3502" w:val="left"/>
        </w:tabs>
        <w:autoSpaceDE w:val="0"/>
        <w:widowControl/>
        <w:spacing w:line="262" w:lineRule="auto" w:before="278" w:after="206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Accountants, each of the resident partners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which, being a member of the Institute of Chartered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Accountants of Sri Lanka or any other institute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law, possesses a certificate to practice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an Accountant, issued by the Council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 Report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Council shall prepare a report of the activities</w:t>
            </w:r>
          </w:p>
        </w:tc>
      </w:tr>
    </w:tbl>
    <w:p>
      <w:pPr>
        <w:autoSpaceDN w:val="0"/>
        <w:autoSpaceDE w:val="0"/>
        <w:widowControl/>
        <w:spacing w:line="250" w:lineRule="auto" w:before="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body corporate for each financial year and submit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report together with the audited statement of accounts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certified by the Auditor General or a qualified auditor 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 of the Ministry of the Minister assigned the subject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Buddhasasana, Religious and Cultural Affairs and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Registrar of Voluntary Social Service Organizations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under the Voluntary Social Service Organizations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(Registration and Supervision) Act, No. 31 of 1980, before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expiration of six months of the year succeeding the year </w:t>
      </w:r>
      <w:r>
        <w:rPr>
          <w:rFonts w:ascii="Times" w:hAnsi="Times" w:eastAsia="Times"/>
          <w:b w:val="0"/>
          <w:i w:val="0"/>
          <w:color w:val="000000"/>
          <w:sz w:val="20"/>
        </w:rPr>
        <w:t>to which such report relates.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35" w:lineRule="auto" w:before="0" w:after="0"/>
        <w:ind w:left="236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Balabhivurdhi Wardana Society </w:t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8" w:lineRule="auto" w:before="44" w:after="0"/>
        <w:ind w:left="0" w:right="371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12 of 2024</w:t>
      </w:r>
    </w:p>
    <w:p>
      <w:pPr>
        <w:autoSpaceDN w:val="0"/>
        <w:autoSpaceDE w:val="0"/>
        <w:widowControl/>
        <w:spacing w:line="252" w:lineRule="auto" w:before="230" w:after="202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separate Account relating to the foreign and local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moneys received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during the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 shall be attached to the report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Society existing on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Debts due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payable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Society</w:t>
            </w:r>
          </w:p>
        </w:tc>
      </w:tr>
      <w:tr>
        <w:trPr>
          <w:trHeight w:hRule="exact" w:val="49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day immediately preceding the date of commencement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Act, shall be paid by the body corporate hereby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8" w:after="20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constituted and all debts due to, subscriptions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contributions payable to the Society on that day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paid to the body corporate 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hold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movable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748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" w:after="0"/>
              <w:ind w:left="738" w:right="12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law, the body corporate shall be able and capable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 to take and hold any property, movable or immovable,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become vested in it by virtue of any purchase,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8" w:after="202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grant, gift, testamentaty disposition or otherwise and all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shall be held by the body corporate for the purposes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and subject to the rules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section 7 with power to sell, mortgage, lease, </w:t>
      </w:r>
      <w:r>
        <w:rPr>
          <w:rFonts w:ascii="Times" w:hAnsi="Times" w:eastAsia="Times"/>
          <w:b w:val="0"/>
          <w:i w:val="0"/>
          <w:color w:val="221F1F"/>
          <w:sz w:val="20"/>
        </w:rPr>
        <w:t>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8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moneys and property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however derived shall be applied solely towards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promotion of the 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no portion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thereof shall be paid or transferred directly or indirectly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way of dividend, bonus or profit or otherwise howsoever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 body corporate shall not be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4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affixed to any instrument whatsoever, except in the presence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two members of the Council, who shall sign their names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instrument in token of their presence and such signing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independent of the signing of any person as a witness.</w:t>
      </w:r>
    </w:p>
    <w:p>
      <w:pPr>
        <w:autoSpaceDN w:val="0"/>
        <w:autoSpaceDE w:val="0"/>
        <w:widowControl/>
        <w:spacing w:line="238" w:lineRule="auto" w:before="260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seal of the body corporate shall be in the custody</w:t>
      </w:r>
    </w:p>
    <w:p>
      <w:pPr>
        <w:autoSpaceDN w:val="0"/>
        <w:autoSpaceDE w:val="0"/>
        <w:widowControl/>
        <w:spacing w:line="238" w:lineRule="auto" w:before="4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an office bearer of the council as may be decided by the</w:t>
      </w:r>
    </w:p>
    <w:p>
      <w:pPr>
        <w:autoSpaceDN w:val="0"/>
        <w:autoSpaceDE w:val="0"/>
        <w:widowControl/>
        <w:spacing w:line="235" w:lineRule="auto" w:before="6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council.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14" w:val="left"/>
          <w:tab w:pos="3722" w:val="left"/>
        </w:tabs>
        <w:autoSpaceDE w:val="0"/>
        <w:widowControl/>
        <w:spacing w:line="259" w:lineRule="auto" w:before="0" w:after="194"/>
        <w:ind w:left="27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Balabhivurdhi Wardana Society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12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remaining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If upon the dissolution of the body corporate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remains after the satisfaction of all its debts and</w:t>
            </w:r>
          </w:p>
        </w:tc>
      </w:tr>
    </w:tbl>
    <w:p>
      <w:pPr>
        <w:autoSpaceDN w:val="0"/>
        <w:autoSpaceDE w:val="0"/>
        <w:widowControl/>
        <w:spacing w:line="293" w:lineRule="auto" w:before="10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liabilities, any property whatsoever, such property shall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distributed among the members of the body corporate,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shall be given or transferred to any other institution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objects similar to those of the body corporate,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by the rules thereof,  prohibited from distributing </w:t>
      </w:r>
      <w:r>
        <w:rPr>
          <w:rFonts w:ascii="Times" w:hAnsi="Times" w:eastAsia="Times"/>
          <w:b w:val="0"/>
          <w:i w:val="0"/>
          <w:color w:val="000000"/>
          <w:sz w:val="20"/>
        </w:rPr>
        <w:t>any income or property among its members.</w:t>
      </w:r>
    </w:p>
    <w:p>
      <w:pPr>
        <w:autoSpaceDN w:val="0"/>
        <w:autoSpaceDE w:val="0"/>
        <w:widowControl/>
        <w:spacing w:line="288" w:lineRule="auto" w:before="356" w:after="208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subsection (1), the appropriate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 shall be determined by the members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immediately before the dissolution at a general </w:t>
      </w:r>
      <w:r>
        <w:rPr>
          <w:rFonts w:ascii="Times" w:hAnsi="Times" w:eastAsia="Times"/>
          <w:b w:val="0"/>
          <w:i w:val="0"/>
          <w:color w:val="000000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70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</w:t>
            </w:r>
          </w:p>
          <w:p>
            <w:pPr>
              <w:autoSpaceDN w:val="0"/>
              <w:autoSpaceDE w:val="0"/>
              <w:widowControl/>
              <w:spacing w:line="245" w:lineRule="auto" w:before="41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</w:tr>
      <w:tr>
        <w:trPr>
          <w:trHeight w:hRule="exact" w:val="6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8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affect the rights of the Republic, or of any body politic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body corporate.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0"/>
        <w:ind w:left="0" w:right="0"/>
      </w:pPr>
    </w:p>
    <w:p>
      <w:pPr>
        <w:autoSpaceDN w:val="0"/>
        <w:autoSpaceDE w:val="0"/>
        <w:widowControl/>
        <w:spacing w:line="7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308"/>
        </w:trPr>
        <w:tc>
          <w:tcPr>
            <w:tcW w:type="dxa" w:w="4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Balabhivurdhi Wardana Society</w:t>
            </w:r>
          </w:p>
        </w:tc>
        <w:tc>
          <w:tcPr>
            <w:tcW w:type="dxa" w:w="1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371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12 of 2024</w:t>
      </w:r>
    </w:p>
    <w:p>
      <w:pPr>
        <w:autoSpaceDN w:val="0"/>
        <w:autoSpaceDE w:val="0"/>
        <w:widowControl/>
        <w:spacing w:line="245" w:lineRule="auto" w:before="9200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26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