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718" w:after="0"/>
        <w:ind w:left="147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SRI LANKA BAPTIST SANGAMAYA (INCORPORATION)</w:t>
      </w:r>
    </w:p>
    <w:p>
      <w:pPr>
        <w:autoSpaceDN w:val="0"/>
        <w:autoSpaceDE w:val="0"/>
        <w:widowControl/>
        <w:spacing w:line="238" w:lineRule="auto" w:before="16" w:after="0"/>
        <w:ind w:left="0" w:right="240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(AMENDMENT) ACT, No. 11 OF 2024</w:t>
      </w:r>
    </w:p>
    <w:p>
      <w:pPr>
        <w:autoSpaceDN w:val="0"/>
        <w:autoSpaceDE w:val="0"/>
        <w:widowControl/>
        <w:spacing w:line="235" w:lineRule="auto" w:before="1072" w:after="0"/>
        <w:ind w:left="0" w:right="28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19th of February, 2024]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25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February 22, 2024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152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12.00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94"/>
        <w:ind w:left="0" w:right="0"/>
      </w:pPr>
    </w:p>
    <w:p>
      <w:pPr>
        <w:autoSpaceDN w:val="0"/>
        <w:autoSpaceDE w:val="0"/>
        <w:widowControl/>
        <w:spacing w:line="1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4510"/>
        <w:gridCol w:w="4510"/>
      </w:tblGrid>
      <w:tr>
        <w:trPr>
          <w:trHeight w:hRule="exact" w:val="334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06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Sri Lanka Baptist Sangamaya (Incorporation)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8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Amendment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Act, No. 11 of 2024</w:t>
      </w:r>
    </w:p>
    <w:p>
      <w:pPr>
        <w:autoSpaceDN w:val="0"/>
        <w:autoSpaceDE w:val="0"/>
        <w:widowControl/>
        <w:spacing w:line="238" w:lineRule="auto" w:before="224" w:after="0"/>
        <w:ind w:left="0" w:right="36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19th of February, 2024]</w:t>
      </w:r>
    </w:p>
    <w:p>
      <w:pPr>
        <w:autoSpaceDN w:val="0"/>
        <w:autoSpaceDE w:val="0"/>
        <w:widowControl/>
        <w:spacing w:line="238" w:lineRule="auto" w:before="192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L.D.–O. (Inc.) 13/2022</w:t>
      </w:r>
    </w:p>
    <w:p>
      <w:pPr>
        <w:autoSpaceDN w:val="0"/>
        <w:autoSpaceDE w:val="0"/>
        <w:widowControl/>
        <w:spacing w:line="254" w:lineRule="auto" w:before="192" w:after="0"/>
        <w:ind w:left="1728" w:right="316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APTIST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ANGAMAYA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(I</w:t>
      </w:r>
      <w:r>
        <w:rPr>
          <w:rFonts w:ascii="Times" w:hAnsi="Times" w:eastAsia="Times"/>
          <w:b w:val="0"/>
          <w:i w:val="0"/>
          <w:color w:val="000000"/>
          <w:sz w:val="14"/>
        </w:rPr>
        <w:t>NCORPORATION</w:t>
      </w:r>
      <w:r>
        <w:rPr>
          <w:rFonts w:ascii="Times" w:hAnsi="Times" w:eastAsia="Times"/>
          <w:b w:val="0"/>
          <w:i w:val="0"/>
          <w:color w:val="000000"/>
          <w:sz w:val="20"/>
        </w:rPr>
        <w:t>) O</w:t>
      </w:r>
      <w:r>
        <w:rPr>
          <w:rFonts w:ascii="Times" w:hAnsi="Times" w:eastAsia="Times"/>
          <w:b w:val="0"/>
          <w:i w:val="0"/>
          <w:color w:val="000000"/>
          <w:sz w:val="14"/>
        </w:rPr>
        <w:t>RDINANCE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341)</w:t>
      </w:r>
    </w:p>
    <w:p>
      <w:pPr>
        <w:autoSpaceDN w:val="0"/>
        <w:tabs>
          <w:tab w:pos="6506" w:val="left"/>
        </w:tabs>
        <w:autoSpaceDE w:val="0"/>
        <w:widowControl/>
        <w:spacing w:line="259" w:lineRule="auto" w:before="192" w:after="0"/>
        <w:ind w:left="1436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the Sri Lanka Baptist Sangamaya 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Preamble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incorporated by the Sri Lanka Baptist Sangamaya Ordinance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(Chapter 341):</w:t>
      </w:r>
    </w:p>
    <w:p>
      <w:pPr>
        <w:autoSpaceDN w:val="0"/>
        <w:autoSpaceDE w:val="0"/>
        <w:widowControl/>
        <w:spacing w:line="266" w:lineRule="auto" w:before="192" w:after="0"/>
        <w:ind w:left="1438" w:right="275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the members of the Sri Lanka Baptist Sangamaya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formally known as the Ceylon Baptist Council, has passed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 to amend the name of the said Sangamaya,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 of  giving effect to the said resolution, and has applied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change the name of such Sangamaya and it will be </w:t>
      </w:r>
      <w:r>
        <w:rPr>
          <w:rFonts w:ascii="Times" w:hAnsi="Times" w:eastAsia="Times"/>
          <w:b w:val="0"/>
          <w:i w:val="0"/>
          <w:color w:val="000000"/>
          <w:sz w:val="20"/>
        </w:rPr>
        <w:t>expedient to grant such application:</w:t>
      </w:r>
    </w:p>
    <w:p>
      <w:pPr>
        <w:autoSpaceDN w:val="0"/>
        <w:autoSpaceDE w:val="0"/>
        <w:widowControl/>
        <w:spacing w:line="254" w:lineRule="auto" w:before="194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 as follows:—</w:t>
      </w:r>
    </w:p>
    <w:p>
      <w:pPr>
        <w:autoSpaceDN w:val="0"/>
        <w:tabs>
          <w:tab w:pos="1678" w:val="left"/>
          <w:tab w:pos="6506" w:val="left"/>
        </w:tabs>
        <w:autoSpaceDE w:val="0"/>
        <w:widowControl/>
        <w:spacing w:line="257" w:lineRule="auto" w:before="192" w:after="132"/>
        <w:ind w:left="1438" w:right="172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This Act may be cited as the Sri Lanka Baptist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000000"/>
          <w:sz w:val="20"/>
        </w:rPr>
        <w:t>Sangamaya (Incorporation) (Amendment) Act, No. 11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084"/>
        </w:trPr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738" w:right="11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every context in which the Sri Lanka Baptist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Sangamaya is mentioned (whether by that name or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abbreviation of the “Sangamaya”) in the Sri Lanka Baptist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Sangamaya Ordinance (Chapter 341) (hereinafter referred to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341</w:t>
            </w:r>
          </w:p>
        </w:tc>
      </w:tr>
    </w:tbl>
    <w:p>
      <w:pPr>
        <w:autoSpaceDN w:val="0"/>
        <w:autoSpaceDE w:val="0"/>
        <w:widowControl/>
        <w:spacing w:line="266" w:lineRule="auto" w:before="16" w:after="132"/>
        <w:ind w:left="1438" w:right="275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 the “principal enactment”) or in any rule, notice or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made or issued thereunder, there shall, unless the </w:t>
      </w:r>
      <w:r>
        <w:rPr>
          <w:rFonts w:ascii="Times" w:hAnsi="Times" w:eastAsia="Times"/>
          <w:b w:val="0"/>
          <w:i w:val="0"/>
          <w:color w:val="000000"/>
          <w:sz w:val="20"/>
        </w:rPr>
        <w:t>context otherwise requires, be substituted for the expression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“Sri Lanka Baptist Sangamaya” or “Sangamaya”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expression “Sri Lanka Baptist Church” or “Church”, as the </w:t>
      </w:r>
      <w:r>
        <w:rPr>
          <w:rFonts w:ascii="Times" w:hAnsi="Times" w:eastAsia="Times"/>
          <w:b w:val="0"/>
          <w:i w:val="0"/>
          <w:color w:val="000000"/>
          <w:sz w:val="20"/>
        </w:rPr>
        <w:t>case may be.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62"/>
        </w:trPr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738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Every contract, agreement or other instrument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document whatsoever made, issued or executed prior to the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Savings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contracts etc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of commencement of this Act, and subsisting on that </w:t>
      </w:r>
      <w:r>
        <w:rPr>
          <w:rFonts w:ascii="Times" w:hAnsi="Times" w:eastAsia="Times"/>
          <w:b w:val="0"/>
          <w:i w:val="0"/>
          <w:color w:val="000000"/>
          <w:sz w:val="20"/>
        </w:rPr>
        <w:t>date by or in favour of the “Sri Lanka Baptist Sangamaya”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4"/>
        <w:ind w:left="0" w:right="0"/>
      </w:pPr>
    </w:p>
    <w:p>
      <w:pPr>
        <w:autoSpaceDN w:val="0"/>
        <w:tabs>
          <w:tab w:pos="3468" w:val="left"/>
          <w:tab w:pos="3882" w:val="left"/>
        </w:tabs>
        <w:autoSpaceDE w:val="0"/>
        <w:widowControl/>
        <w:spacing w:line="276" w:lineRule="exact" w:before="0" w:after="0"/>
        <w:ind w:left="2852" w:right="172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Sri Lanka Baptist Sangamaya (Incorporation)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Amendment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Act, No. 11 of 2024</w:t>
      </w:r>
    </w:p>
    <w:p>
      <w:pPr>
        <w:autoSpaceDN w:val="0"/>
        <w:autoSpaceDE w:val="0"/>
        <w:widowControl/>
        <w:spacing w:line="259" w:lineRule="auto" w:before="226" w:after="0"/>
        <w:ind w:left="280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deemed, from and after the date of commencement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Act, to be and to have been made, issued or executed </w:t>
      </w:r>
      <w:r>
        <w:rPr>
          <w:rFonts w:ascii="Times" w:hAnsi="Times" w:eastAsia="Times"/>
          <w:b w:val="0"/>
          <w:i w:val="0"/>
          <w:color w:val="000000"/>
          <w:sz w:val="20"/>
        </w:rPr>
        <w:t>by or in favour of the “Sri Lanka Baptist Church”.</w:t>
      </w:r>
    </w:p>
    <w:p>
      <w:pPr>
        <w:autoSpaceDN w:val="0"/>
        <w:autoSpaceDE w:val="0"/>
        <w:widowControl/>
        <w:spacing w:line="266" w:lineRule="auto" w:before="194" w:after="0"/>
        <w:ind w:left="280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All suits, actions, appeals and other legal proceedings </w:t>
      </w:r>
      <w:r>
        <w:rPr>
          <w:rFonts w:ascii="Times" w:hAnsi="Times" w:eastAsia="Times"/>
          <w:b w:val="0"/>
          <w:i w:val="0"/>
          <w:color w:val="000000"/>
          <w:sz w:val="20"/>
        </w:rPr>
        <w:t>instituted by or against the “Sri Lanka Baptist Sangamaya”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pending on the day immediately prior to the date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Act, shall not abate or be discontinued, </w:t>
      </w:r>
      <w:r>
        <w:rPr>
          <w:rFonts w:ascii="Times" w:hAnsi="Times" w:eastAsia="Times"/>
          <w:b w:val="0"/>
          <w:i w:val="0"/>
          <w:color w:val="000000"/>
          <w:sz w:val="20"/>
        </w:rPr>
        <w:t>and may be continued or enforced by or against the</w:t>
      </w:r>
      <w:r>
        <w:rPr>
          <w:rFonts w:ascii="Times" w:hAnsi="Times" w:eastAsia="Times"/>
          <w:b w:val="0"/>
          <w:i w:val="0"/>
          <w:color w:val="000000"/>
          <w:sz w:val="20"/>
        </w:rPr>
        <w:t>“Sri Lanka Baptist Church”.</w:t>
      </w:r>
    </w:p>
    <w:p>
      <w:pPr>
        <w:autoSpaceDN w:val="0"/>
        <w:autoSpaceDE w:val="0"/>
        <w:widowControl/>
        <w:spacing w:line="266" w:lineRule="auto" w:before="192" w:after="130"/>
        <w:ind w:left="280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(3) All the rights, liabilities, and obligations of 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“Sri Lanka Baptist Sangamaya” other than the rights,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liabilities and obligations referred to in subsection (1)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day immediately prior to the date  of commencement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Act, shall be deemed to be the rights, liabilities and </w:t>
      </w:r>
      <w:r>
        <w:rPr>
          <w:rFonts w:ascii="Times" w:hAnsi="Times" w:eastAsia="Times"/>
          <w:b w:val="0"/>
          <w:i w:val="0"/>
          <w:color w:val="000000"/>
          <w:sz w:val="20"/>
        </w:rPr>
        <w:t>obligations of the “Sri Lanka Baptist Church”.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66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Avoidance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doubts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262" w:right="57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For the purpose of avoidance of doubt it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declared that the “Sri Lanka Baptist Church” shall for all</w:t>
            </w:r>
          </w:p>
        </w:tc>
      </w:tr>
    </w:tbl>
    <w:p>
      <w:pPr>
        <w:autoSpaceDN w:val="0"/>
        <w:autoSpaceDE w:val="0"/>
        <w:widowControl/>
        <w:spacing w:line="259" w:lineRule="auto" w:before="16" w:after="132"/>
        <w:ind w:left="280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purposes be deemed to be the successor to the “Sri Lanka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Baptist Sangamaya” incorporated by section 2 of the </w:t>
      </w:r>
      <w:r>
        <w:rPr>
          <w:rFonts w:ascii="Times" w:hAnsi="Times" w:eastAsia="Times"/>
          <w:b w:val="0"/>
          <w:i w:val="0"/>
          <w:color w:val="000000"/>
          <w:sz w:val="20"/>
        </w:rPr>
        <w:t>principal enactment.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78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2" w:val="left"/>
              </w:tabs>
              <w:autoSpaceDE w:val="0"/>
              <w:widowControl/>
              <w:spacing w:line="254" w:lineRule="auto" w:before="60" w:after="0"/>
              <w:ind w:left="14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2"/>
        <w:ind w:left="0" w:right="0"/>
      </w:pPr>
    </w:p>
    <w:p>
      <w:pPr>
        <w:autoSpaceDN w:val="0"/>
        <w:autoSpaceDE w:val="0"/>
        <w:widowControl/>
        <w:spacing w:line="4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4510"/>
        <w:gridCol w:w="4510"/>
      </w:tblGrid>
      <w:tr>
        <w:trPr>
          <w:trHeight w:hRule="exact" w:val="334"/>
        </w:trPr>
        <w:tc>
          <w:tcPr>
            <w:tcW w:type="dxa" w:w="4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06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Sri Lanka Baptist Sangamaya (Incorporation)</w:t>
            </w:r>
          </w:p>
        </w:tc>
        <w:tc>
          <w:tcPr>
            <w:tcW w:type="dxa" w:w="1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8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Amendment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Act, No. 11 of 2024</w:t>
      </w:r>
    </w:p>
    <w:p>
      <w:pPr>
        <w:autoSpaceDN w:val="0"/>
        <w:autoSpaceDE w:val="0"/>
        <w:widowControl/>
        <w:spacing w:line="245" w:lineRule="auto" w:before="9176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RAKASHANA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IYASA</w:t>
      </w:r>
      <w:r>
        <w:rPr>
          <w:rFonts w:ascii="Times" w:hAnsi="Times" w:eastAsia="Times"/>
          <w:b w:val="0"/>
          <w:i w:val="0"/>
          <w:color w:val="000000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OVERNMENT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RINTING</w:t>
      </w:r>
      <w:r>
        <w:rPr>
          <w:rFonts w:ascii="Times" w:hAnsi="Times" w:eastAsia="Times"/>
          <w:b w:val="0"/>
          <w:i w:val="0"/>
          <w:color w:val="000000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ANISTER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ILVA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AWATHA</w:t>
      </w:r>
      <w:r>
        <w:rPr>
          <w:rFonts w:ascii="Times" w:hAnsi="Times" w:eastAsia="Times"/>
          <w:b w:val="0"/>
          <w:i w:val="0"/>
          <w:color w:val="000000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OLOMBO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