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18" w:after="0"/>
        <w:ind w:left="0" w:right="23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VALUE ADDED TAX (AMENDMENT)</w:t>
      </w:r>
    </w:p>
    <w:p>
      <w:pPr>
        <w:autoSpaceDN w:val="0"/>
        <w:autoSpaceDE w:val="0"/>
        <w:widowControl/>
        <w:spacing w:line="238" w:lineRule="auto" w:before="16" w:after="0"/>
        <w:ind w:left="0" w:right="3344" w:firstLine="0"/>
        <w:jc w:val="right"/>
      </w:pPr>
      <w:r>
        <w:rPr>
          <w:rFonts w:ascii="Times,Bold" w:hAnsi="Times,Bold" w:eastAsia="Times,Bold"/>
          <w:b/>
          <w:i w:val="0"/>
          <w:color w:val="37413F"/>
          <w:sz w:val="24"/>
        </w:rPr>
        <w:t>ACT, No. 16 OF 2024</w:t>
      </w:r>
    </w:p>
    <w:p>
      <w:pPr>
        <w:autoSpaceDN w:val="0"/>
        <w:autoSpaceDE w:val="0"/>
        <w:widowControl/>
        <w:spacing w:line="235" w:lineRule="auto" w:before="1072" w:after="0"/>
        <w:ind w:left="0" w:right="298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20th of  March,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35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March 22,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228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4" w:lineRule="exact" w:before="4" w:after="0"/>
        <w:ind w:left="0" w:right="435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37413F"/>
          <w:sz w:val="20"/>
        </w:rPr>
        <w:t>Act, No. 16 of 2024</w:t>
      </w:r>
    </w:p>
    <w:p>
      <w:pPr>
        <w:autoSpaceDN w:val="0"/>
        <w:autoSpaceDE w:val="0"/>
        <w:widowControl/>
        <w:spacing w:line="235" w:lineRule="auto" w:before="244" w:after="0"/>
        <w:ind w:left="0" w:right="3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20th of March, 2024]</w:t>
      </w:r>
    </w:p>
    <w:p>
      <w:pPr>
        <w:autoSpaceDN w:val="0"/>
        <w:autoSpaceDE w:val="0"/>
        <w:widowControl/>
        <w:spacing w:line="235" w:lineRule="auto" w:before="25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74/2023</w:t>
      </w:r>
    </w:p>
    <w:p>
      <w:pPr>
        <w:autoSpaceDN w:val="0"/>
        <w:autoSpaceDE w:val="0"/>
        <w:widowControl/>
        <w:spacing w:line="235" w:lineRule="auto" w:before="254" w:after="0"/>
        <w:ind w:left="14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45" w:lineRule="auto" w:before="254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1676" w:val="left"/>
          <w:tab w:pos="6496" w:val="left"/>
        </w:tabs>
        <w:autoSpaceDE w:val="0"/>
        <w:widowControl/>
        <w:spacing w:line="245" w:lineRule="auto" w:before="254" w:after="192"/>
        <w:ind w:left="1436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Value Added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No.16 of 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736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Value Added Tax Act, No. 14 of 2002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in this Act referred to as the “principal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amended, in sub-paragraph (v)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 of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No.14 of 2002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(1) of that section as follows: -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item (vii), for the words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figures “at the rate of twelve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(of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tax fraction is 3/28); and”, of the words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figures “at the rate of twelve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(of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tax fraction is 3/28);”;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item (viii), for the words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figures “for any taxable period commencing 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October 1, 2022 at the rate of fifteen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 centum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(of which the tax fraction is 3/23).”, of the words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figures “for any taxable period commencing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or after October 1, 2022 but ending on December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31, 2023 at the rate of fifteen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(of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tax fraction is 3/23); and”; and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the item (viii)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new item:-</w:t>
      </w:r>
    </w:p>
    <w:p>
      <w:pPr>
        <w:autoSpaceDN w:val="0"/>
        <w:tabs>
          <w:tab w:pos="3176" w:val="left"/>
          <w:tab w:pos="3180" w:val="left"/>
        </w:tabs>
        <w:autoSpaceDE w:val="0"/>
        <w:widowControl/>
        <w:spacing w:line="247" w:lineRule="auto" w:before="254" w:after="0"/>
        <w:ind w:left="262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“(ix)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taxable period commencing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after January 1, 2024 at the rate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eighteen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(of which the tax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fraction is 9/59).”.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52" w:val="left"/>
          <w:tab w:pos="4416" w:val="left"/>
        </w:tabs>
        <w:autoSpaceDE w:val="0"/>
        <w:widowControl/>
        <w:spacing w:line="238" w:lineRule="exact" w:before="0" w:after="190"/>
        <w:ind w:left="28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br/>
      </w:r>
      <w:r>
        <w:tab/>
      </w:r>
      <w:r>
        <w:tab/>
      </w:r>
      <w:r>
        <w:rPr>
          <w:rFonts w:ascii="TimesNewRoman,Italic" w:hAnsi="TimesNewRoman,Italic" w:eastAsia="TimesNewRoman,Italic"/>
          <w:b w:val="0"/>
          <w:i/>
          <w:color w:val="37413F"/>
          <w:sz w:val="20"/>
        </w:rPr>
        <w:t>Act, No. 16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7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10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50" w:lineRule="auto" w:before="60" w:after="0"/>
              <w:ind w:left="20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 as follows:-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(vii), for the words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352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figures “(vii) on or after October 1, 2022,”,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and figures “(vii) on or after October 1,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2022 but on or before December 31, 2023,”;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7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paragraph (vii),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paragraph:-</w:t>
      </w:r>
    </w:p>
    <w:p>
      <w:pPr>
        <w:autoSpaceDN w:val="0"/>
        <w:autoSpaceDE w:val="0"/>
        <w:widowControl/>
        <w:spacing w:line="257" w:lineRule="auto" w:before="276" w:after="0"/>
        <w:ind w:left="4302" w:right="1416" w:hanging="63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“(viii) on or after January 1, 2024, carries 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out any taxable activity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shall be required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registered under this Act, if–</w:t>
      </w:r>
    </w:p>
    <w:p>
      <w:pPr>
        <w:autoSpaceDN w:val="0"/>
        <w:tabs>
          <w:tab w:pos="4962" w:val="left"/>
        </w:tabs>
        <w:autoSpaceDE w:val="0"/>
        <w:widowControl/>
        <w:spacing w:line="259" w:lineRule="auto" w:before="276" w:after="0"/>
        <w:ind w:left="45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end of any taxable period,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total value of the taxable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of goods or services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and services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made in Sri Lanka in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period has exceeded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fifteen million rupees; or</w:t>
      </w:r>
    </w:p>
    <w:p>
      <w:pPr>
        <w:autoSpaceDN w:val="0"/>
        <w:tabs>
          <w:tab w:pos="4962" w:val="left"/>
        </w:tabs>
        <w:autoSpaceDE w:val="0"/>
        <w:widowControl/>
        <w:spacing w:line="259" w:lineRule="auto" w:before="276" w:after="0"/>
        <w:ind w:left="45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twelve months period then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ending, the total value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supplies of goods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or goods and services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person, made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exceeded sixty million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rupees; or</w:t>
      </w:r>
    </w:p>
    <w:p>
      <w:pPr>
        <w:autoSpaceDN w:val="0"/>
        <w:tabs>
          <w:tab w:pos="4962" w:val="left"/>
        </w:tabs>
        <w:autoSpaceDE w:val="0"/>
        <w:widowControl/>
        <w:spacing w:line="257" w:lineRule="auto" w:before="276" w:after="0"/>
        <w:ind w:left="45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any time, there are reasonable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to believe that the total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of the taxable supplies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or services or goods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of such person, made in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0" w:val="left"/>
          <w:tab w:pos="6172" w:val="left"/>
        </w:tabs>
        <w:autoSpaceDE w:val="0"/>
        <w:widowControl/>
        <w:spacing w:line="238" w:lineRule="exact" w:before="0" w:after="0"/>
        <w:ind w:left="262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NewRoman,Italic" w:hAnsi="TimesNewRoman,Italic" w:eastAsia="TimesNewRoman,Italic"/>
          <w:b w:val="0"/>
          <w:i/>
          <w:color w:val="37413F"/>
          <w:sz w:val="20"/>
        </w:rPr>
        <w:t>Act, No. 16 of 2024</w:t>
      </w:r>
    </w:p>
    <w:p>
      <w:pPr>
        <w:autoSpaceDN w:val="0"/>
        <w:autoSpaceDE w:val="0"/>
        <w:widowControl/>
        <w:spacing w:line="238" w:lineRule="auto" w:before="25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Lanka, in the succeeding</w:t>
      </w:r>
    </w:p>
    <w:p>
      <w:pPr>
        <w:autoSpaceDN w:val="0"/>
        <w:autoSpaceDE w:val="0"/>
        <w:widowControl/>
        <w:spacing w:line="245" w:lineRule="auto" w:before="24" w:after="0"/>
        <w:ind w:left="39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period, is likely to exceed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fifteen million rupees or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succeeding twelve months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likely to exceed sixty million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rupees.”;</w:t>
      </w:r>
    </w:p>
    <w:p>
      <w:pPr>
        <w:autoSpaceDN w:val="0"/>
        <w:autoSpaceDE w:val="0"/>
        <w:widowControl/>
        <w:spacing w:line="245" w:lineRule="auto" w:before="214" w:after="0"/>
        <w:ind w:left="2416" w:right="2422" w:hanging="3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third proviso to that subsection, by the </w:t>
      </w:r>
      <w:r>
        <w:rPr>
          <w:rFonts w:ascii="Times" w:hAnsi="Times" w:eastAsia="Times"/>
          <w:b w:val="0"/>
          <w:i w:val="0"/>
          <w:color w:val="221F1F"/>
          <w:sz w:val="20"/>
        </w:rPr>
        <w:t>substitution for the words “comes into operation.”</w:t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autoSpaceDE w:val="0"/>
        <w:widowControl/>
        <w:spacing w:line="238" w:lineRule="auto" w:before="212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“comes into operation:</w:t>
      </w:r>
    </w:p>
    <w:p>
      <w:pPr>
        <w:autoSpaceDN w:val="0"/>
        <w:autoSpaceDE w:val="0"/>
        <w:widowControl/>
        <w:spacing w:line="245" w:lineRule="auto" w:before="214" w:after="384"/>
        <w:ind w:left="263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for the purposes of 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(viii), the requirement for the registration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arise from the date on which this (Amendment)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 comes into operation.”.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12"/>
        <w:ind w:left="0" w:right="0"/>
      </w:pPr>
    </w:p>
    <w:p>
      <w:pPr>
        <w:autoSpaceDN w:val="0"/>
        <w:autoSpaceDE w:val="0"/>
        <w:widowControl/>
        <w:spacing w:line="2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88"/>
        </w:trPr>
        <w:tc>
          <w:tcPr>
            <w:tcW w:type="dxa" w:w="2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3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</w:tbl>
    <w:p>
      <w:pPr>
        <w:autoSpaceDN w:val="0"/>
        <w:autoSpaceDE w:val="0"/>
        <w:widowControl/>
        <w:spacing w:line="244" w:lineRule="exact" w:before="4" w:after="0"/>
        <w:ind w:left="0" w:right="3030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37413F"/>
          <w:sz w:val="20"/>
        </w:rPr>
        <w:t>Act, No. 16 of 2024</w:t>
      </w:r>
    </w:p>
    <w:p>
      <w:pPr>
        <w:autoSpaceDN w:val="0"/>
        <w:autoSpaceDE w:val="0"/>
        <w:widowControl/>
        <w:spacing w:line="245" w:lineRule="auto" w:before="9222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