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exact" w:before="730" w:after="0"/>
        <w:ind w:left="2880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 xml:space="preserve">COMPANIES (AMENDMENT) </w:t>
      </w:r>
      <w:r>
        <w:br/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23 OF 2024</w:t>
      </w:r>
    </w:p>
    <w:p>
      <w:pPr>
        <w:autoSpaceDN w:val="0"/>
        <w:autoSpaceDE w:val="0"/>
        <w:widowControl/>
        <w:spacing w:line="235" w:lineRule="auto" w:before="1044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 April,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221F1F"/>
          <w:sz w:val="20"/>
        </w:rPr>
        <w:t>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10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440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Companies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23 of 2024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324" w:after="0"/>
        <w:ind w:left="0" w:right="3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01st of April, 2024]</w:t>
      </w:r>
    </w:p>
    <w:p>
      <w:pPr>
        <w:autoSpaceDN w:val="0"/>
        <w:autoSpaceDE w:val="0"/>
        <w:widowControl/>
        <w:spacing w:line="280" w:lineRule="exact" w:before="404" w:after="0"/>
        <w:ind w:left="14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1"/>
        </w:rPr>
        <w:t>L.D.-O.68/2017</w:t>
      </w:r>
    </w:p>
    <w:p>
      <w:pPr>
        <w:autoSpaceDN w:val="0"/>
        <w:autoSpaceDE w:val="0"/>
        <w:widowControl/>
        <w:spacing w:line="266" w:lineRule="exact" w:before="230" w:after="0"/>
        <w:ind w:left="17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OMPANIES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07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2007</w:t>
      </w:r>
    </w:p>
    <w:p>
      <w:pPr>
        <w:autoSpaceDN w:val="0"/>
        <w:autoSpaceDE w:val="0"/>
        <w:widowControl/>
        <w:spacing w:line="240" w:lineRule="exact" w:before="262" w:after="172"/>
        <w:ind w:left="143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4" w:val="left"/>
              </w:tabs>
              <w:autoSpaceDE w:val="0"/>
              <w:widowControl/>
              <w:spacing w:line="278" w:lineRule="exact" w:before="58" w:after="0"/>
              <w:ind w:left="93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  This Act may be cited as the Companies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 Act, No. 23 of 2024.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74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title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date of operation</w:t>
            </w:r>
          </w:p>
        </w:tc>
      </w:tr>
    </w:tbl>
    <w:p>
      <w:pPr>
        <w:autoSpaceDN w:val="0"/>
        <w:autoSpaceDE w:val="0"/>
        <w:widowControl/>
        <w:spacing w:line="240" w:lineRule="exact" w:before="204" w:after="0"/>
        <w:ind w:left="1432" w:right="2768" w:firstLine="5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(2)   The provisions of this Act, other than the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provisions of this section, shall come into operation on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such date as the Minister may appoint by Order published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in the </w:t>
      </w:r>
      <w:r>
        <w:rPr>
          <w:rFonts w:ascii="TimesNewRoman,Italic" w:hAnsi="TimesNewRoman,Italic" w:eastAsia="TimesNewRoman,Italic"/>
          <w:b w:val="0"/>
          <w:i/>
          <w:color w:val="000000"/>
          <w:sz w:val="21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40" w:lineRule="exact" w:before="260" w:after="160"/>
        <w:ind w:left="1432" w:right="2766" w:firstLine="5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(3)  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operation on the date on which the Bill becomes an Act of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4" w:after="0"/>
              <w:ind w:left="732" w:right="106" w:firstLine="406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Section 427 of the Companies Act, No. 07 of 2007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(in this Act referred to as the “principal enactment”)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hereby amended 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) of subsection (3)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that section, by the substitution for the words and figures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“the provisions of the Registration of Documents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Ordinance (Cap.117)”, of the words and figures “the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provisions of the Secured  Transactions Act, No. 17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2024”.</w:t>
            </w:r>
          </w:p>
          <w:p>
            <w:pPr>
              <w:autoSpaceDN w:val="0"/>
              <w:tabs>
                <w:tab w:pos="1092" w:val="left"/>
              </w:tabs>
              <w:autoSpaceDE w:val="0"/>
              <w:widowControl/>
              <w:spacing w:line="228" w:lineRule="exact" w:before="284" w:after="0"/>
              <w:ind w:left="73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Section 428 of the principal 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amended as follows: 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427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No. 07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2007</w:t>
            </w:r>
          </w:p>
          <w:p>
            <w:pPr>
              <w:autoSpaceDN w:val="0"/>
              <w:autoSpaceDE w:val="0"/>
              <w:widowControl/>
              <w:spacing w:line="214" w:lineRule="exact" w:before="1278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 of</w:t>
            </w:r>
          </w:p>
          <w:p>
            <w:pPr>
              <w:autoSpaceDN w:val="0"/>
              <w:autoSpaceDE w:val="0"/>
              <w:widowControl/>
              <w:spacing w:line="214" w:lineRule="exact" w:before="1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section 428 of</w:t>
            </w:r>
          </w:p>
          <w:p>
            <w:pPr>
              <w:autoSpaceDN w:val="0"/>
              <w:autoSpaceDE w:val="0"/>
              <w:widowControl/>
              <w:spacing w:line="212" w:lineRule="exact" w:before="2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 principal</w:t>
            </w:r>
          </w:p>
          <w:p>
            <w:pPr>
              <w:autoSpaceDN w:val="0"/>
              <w:autoSpaceDE w:val="0"/>
              <w:widowControl/>
              <w:spacing w:line="214" w:lineRule="exact" w:before="2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09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(1)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112" w:right="106" w:firstLine="2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in subsection (3) of that section,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substitution for all the words and figures from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“registered under the Registration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Documents Ordinance (Cap. 117)”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10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0"/>
        <w:ind w:left="0" w:right="0"/>
      </w:pPr>
    </w:p>
    <w:p>
      <w:pPr>
        <w:autoSpaceDN w:val="0"/>
        <w:autoSpaceDE w:val="0"/>
        <w:widowControl/>
        <w:spacing w:line="5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4" w:after="0"/>
              <w:ind w:left="720" w:right="1296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Companies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23 of 2024</w:t>
            </w:r>
          </w:p>
        </w:tc>
      </w:tr>
    </w:tbl>
    <w:p>
      <w:pPr>
        <w:autoSpaceDN w:val="0"/>
        <w:autoSpaceDE w:val="0"/>
        <w:widowControl/>
        <w:spacing w:line="260" w:lineRule="exact" w:before="264" w:after="162"/>
        <w:ind w:left="3834" w:right="142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end of that subsection, of the words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figures “registered under the Secured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Transactions Act, No. 17 of 2024 and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provisions of that Act shall apply in regard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such floating charge.”; 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94" w:after="0"/>
              <w:ind w:left="70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431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 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86" w:lineRule="exact" w:before="2166" w:after="0"/>
              <w:ind w:left="682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433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(2)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by the repeal of subsection (4) of that section.</w:t>
            </w:r>
          </w:p>
        </w:tc>
      </w:tr>
      <w:tr>
        <w:trPr>
          <w:trHeight w:hRule="exact" w:val="420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2" w:after="0"/>
              <w:ind w:left="194" w:right="708" w:firstLine="20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Section 431 of the principal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amended by the addition immediately after subsection (6)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of that section, of the following new subsection: -</w:t>
            </w:r>
          </w:p>
          <w:p>
            <w:pPr>
              <w:autoSpaceDN w:val="0"/>
              <w:autoSpaceDE w:val="0"/>
              <w:widowControl/>
              <w:spacing w:line="232" w:lineRule="exact" w:before="260" w:after="0"/>
              <w:ind w:left="1714" w:right="710" w:firstLine="11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“(7) Where any movable property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owned by a company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is subject to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floating charge which is registered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under the Secured Transactions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No.  17 of 2024, the provisions relating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to priority contained in that Act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apply in determining the priority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floating charge.”.</w:t>
            </w:r>
          </w:p>
          <w:p>
            <w:pPr>
              <w:autoSpaceDN w:val="0"/>
              <w:autoSpaceDE w:val="0"/>
              <w:widowControl/>
              <w:spacing w:line="292" w:lineRule="exact" w:before="236" w:after="0"/>
              <w:ind w:left="4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The following new section is hereby inserted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immediately after section 433 of the principal enactment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and shall have effect as section 433</w:t>
            </w:r>
            <w:r>
              <w:rPr>
                <w:w w:val="98.3327674865722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 of that enactment: -</w:t>
            </w:r>
          </w:p>
        </w:tc>
      </w:tr>
    </w:tbl>
    <w:p>
      <w:pPr>
        <w:autoSpaceDN w:val="0"/>
        <w:autoSpaceDE w:val="0"/>
        <w:widowControl/>
        <w:spacing w:line="228" w:lineRule="exact" w:before="100" w:after="152"/>
        <w:ind w:left="3024" w:right="143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“Interpretation 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433</w:t>
      </w:r>
      <w:r>
        <w:rPr>
          <w:w w:val="98.33276748657227"/>
          <w:rFonts w:ascii="TimesNewRoman,Bold" w:hAnsi="TimesNewRoman,Bold" w:eastAsia="TimesNewRoman,Bold"/>
          <w:b/>
          <w:i w:val="0"/>
          <w:color w:val="000000"/>
          <w:sz w:val="15"/>
        </w:rPr>
        <w:t>A</w:t>
      </w: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.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 In this Part of this Act, the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term “floating charge” means a “security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right” for the purpose of the application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 xml:space="preserve">of the provisions of  the Secured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Transactions Act, No. 17 of 2024.”.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32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8" w:after="0"/>
              <w:ind w:left="154" w:right="710" w:firstLine="21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6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. In the event of any inconsistency between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Sinhala and Tamil texts of this Act, the Sinhala text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3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3.9999999999998" w:type="dxa"/>
      </w:tblPr>
      <w:tblGrid>
        <w:gridCol w:w="4510"/>
        <w:gridCol w:w="4510"/>
      </w:tblGrid>
      <w:tr>
        <w:trPr>
          <w:trHeight w:hRule="exact" w:val="9576"/>
        </w:trPr>
        <w:tc>
          <w:tcPr>
            <w:tcW w:type="dxa" w:w="415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440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Companies (Amendment)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23 of 2024</w:t>
            </w:r>
          </w:p>
        </w:tc>
        <w:tc>
          <w:tcPr>
            <w:tcW w:type="dxa" w:w="2202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5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