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866" w:after="0"/>
        <w:ind w:left="19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BANKING 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24 OF 2024</w:t>
      </w:r>
    </w:p>
    <w:p>
      <w:pPr>
        <w:autoSpaceDN w:val="0"/>
        <w:autoSpaceDE w:val="0"/>
        <w:widowControl/>
        <w:spacing w:line="238" w:lineRule="auto" w:before="1050" w:after="0"/>
        <w:ind w:left="0" w:right="30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10th of  April,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12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10th of April, 2024]</w:t>
      </w:r>
    </w:p>
    <w:p>
      <w:pPr>
        <w:autoSpaceDN w:val="0"/>
        <w:autoSpaceDE w:val="0"/>
        <w:widowControl/>
        <w:spacing w:line="235" w:lineRule="auto" w:before="2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42/2023</w:t>
      </w:r>
    </w:p>
    <w:p>
      <w:pPr>
        <w:autoSpaceDN w:val="0"/>
        <w:autoSpaceDE w:val="0"/>
        <w:widowControl/>
        <w:spacing w:line="238" w:lineRule="auto" w:before="224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26" w:after="16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2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Banking (Amendment)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24 of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38" w:after="16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(in this Act referred to as the “appointed date”)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 of the Banking Act, No. 30 of 1988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(6) thereof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“shall not include the Central Bank or a private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company” of the words “shall not include the Central Bank,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shell bank or a private company”.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section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section 2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30 of 1988</w:t>
            </w:r>
          </w:p>
          <w:p>
            <w:pPr>
              <w:autoSpaceDN w:val="0"/>
              <w:autoSpaceDE w:val="0"/>
              <w:widowControl/>
              <w:spacing w:line="247" w:lineRule="auto" w:before="103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“Eligibility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matters shall be taken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criteria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1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consideration by the Central Bank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determining whether a company is eligible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for a licence under this Act:-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initial capital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as may be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Bank, from time to time;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and adequacy of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41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as a means of continuing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support for the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commercial bank to be established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capital and other funding sources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derive from unlawful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suitability of material shareholders in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12;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fitness and propriety of directors, chief</w:t>
            </w:r>
          </w:p>
        </w:tc>
      </w:tr>
      <w:tr>
        <w:trPr>
          <w:trHeight w:hRule="exact" w:val="1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 and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performing executive functions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person proposed to be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of the above positions,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case may be, in terms of the criteria set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subsection (2) of section 42;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track record for operating in a manner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consistent with the standards of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governance and integrity;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transparency in ownership structure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beneficial ownership;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of a licensed commercial</w:t>
            </w:r>
          </w:p>
        </w:tc>
      </w:tr>
      <w:tr>
        <w:trPr>
          <w:trHeight w:hRule="exact" w:val="10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in Sri Lanka will be in the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viability and stability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banking system and the interest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economy; 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any other requirements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or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outside Sri Lanka.”.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45" w:lineRule="auto" w:before="214" w:after="0"/>
              <w:ind w:left="16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“in such manner” of the words “in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along with the application fee”; and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repeal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subparagraph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638" w:val="left"/>
          <w:tab w:pos="2640" w:val="left"/>
        </w:tabs>
        <w:autoSpaceDE w:val="0"/>
        <w:widowControl/>
        <w:spacing w:line="254" w:lineRule="auto" w:before="496" w:after="232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audited financial statements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company for the preceding three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69" w:lineRule="auto" w:before="292" w:after="0"/>
        <w:ind w:left="21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Central Bank may require any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corporate incorporated outside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applied for a licence under section 3,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banking business through a branch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to undertake to remit to Sri Lanka,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commencement of its business in Sri Lanka,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determined in United States Dollars,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its equivalent in any designated foreign currency.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remitted may form part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capital of such company or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kept as a deposit with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such other manner as may be determined,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time, by the Central Bank.”;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autoSpaceDE w:val="0"/>
        <w:widowControl/>
        <w:spacing w:line="269" w:lineRule="auto" w:before="294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Central Bank may, having regard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soundness of the financial position, risk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liquidity, require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corporate specified in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establish within Sri Lanka as a subsidiary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parent company or principal body corporate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issued with a licence to carry on banking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76" w:lineRule="auto" w:before="502" w:after="248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commercial bank incorporated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is operating as a branch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immediately preceding the appointed date,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direct such bank to establish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subsidiary of a parent company or principal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of such commercial bank to carry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business in Sri Lanka, having regard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soundness of the financial position, risk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terms and conditions as may be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direction.”.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8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thereof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following:-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such company is authorized to carry on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8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banking business;”.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8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subsection (2) thereof by the substitution for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“(2) The Monetary Board” of the words and figure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48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The Director of Bank Supervision”.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8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following: -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insolvent and winding up proceedings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instituted under any other written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in force, whether in or outside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a liquidator or receiver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for such bank in the interest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depositors and creditors; or”.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5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256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11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76" w:val="left"/>
          <w:tab w:pos="6478" w:val="left"/>
        </w:tabs>
        <w:autoSpaceDE w:val="0"/>
        <w:widowControl/>
        <w:spacing w:line="269" w:lineRule="auto" w:before="6" w:after="0"/>
        <w:ind w:left="1774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“shall commence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Part VIII of this Act.”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“shall commence in accordance with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written law for the time being in force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winding up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licenced commercial bank in Sri Lanka.”;</w:t>
      </w:r>
    </w:p>
    <w:p>
      <w:pPr>
        <w:autoSpaceDN w:val="0"/>
        <w:tabs>
          <w:tab w:pos="2176" w:val="left"/>
        </w:tabs>
        <w:autoSpaceDE w:val="0"/>
        <w:widowControl/>
        <w:spacing w:line="274" w:lineRule="auto" w:before="30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“close down the business of such bank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with respect to Sri Lanka,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Part VIII of this Act.”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“close down the business of such bank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any other written law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which specifically provides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any licensed commercial bank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Lanka.”;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02" w:after="0"/>
        <w:ind w:left="17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(4) thereof-</w:t>
      </w:r>
    </w:p>
    <w:p>
      <w:pPr>
        <w:autoSpaceDN w:val="0"/>
        <w:tabs>
          <w:tab w:pos="2656" w:val="left"/>
        </w:tabs>
        <w:autoSpaceDE w:val="0"/>
        <w:widowControl/>
        <w:spacing w:line="264" w:lineRule="auto" w:before="306" w:after="0"/>
        <w:ind w:left="225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substitution,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measures;” of the words “such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measures; and”;</w:t>
      </w:r>
    </w:p>
    <w:p>
      <w:pPr>
        <w:autoSpaceDN w:val="0"/>
        <w:tabs>
          <w:tab w:pos="2656" w:val="left"/>
        </w:tabs>
        <w:autoSpaceDE w:val="0"/>
        <w:widowControl/>
        <w:spacing w:line="264" w:lineRule="auto" w:before="302" w:after="0"/>
        <w:ind w:left="225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“such amalgamation; and”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“such amalgamation:”; and</w:t>
      </w:r>
    </w:p>
    <w:p>
      <w:pPr>
        <w:autoSpaceDN w:val="0"/>
        <w:tabs>
          <w:tab w:pos="2656" w:val="left"/>
        </w:tabs>
        <w:autoSpaceDE w:val="0"/>
        <w:widowControl/>
        <w:spacing w:line="266" w:lineRule="auto" w:before="306" w:after="0"/>
        <w:ind w:left="22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all the words commencing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“(i) vesting the business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bank” and ending with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“an acquiring bank:”.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8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256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098" w:val="left"/>
          <w:tab w:pos="3502" w:val="left"/>
        </w:tabs>
        <w:autoSpaceDE w:val="0"/>
        <w:widowControl/>
        <w:spacing w:line="245" w:lineRule="auto" w:before="6" w:after="0"/>
        <w:ind w:left="134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thereof,-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9" w:lineRule="auto" w:before="30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Monetary Board given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concurrence of the Minister,”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“written approval of the Central Bank,”;</w:t>
      </w:r>
    </w:p>
    <w:p>
      <w:pPr>
        <w:autoSpaceDN w:val="0"/>
        <w:tabs>
          <w:tab w:pos="3984" w:val="left"/>
        </w:tabs>
        <w:autoSpaceDE w:val="0"/>
        <w:widowControl/>
        <w:spacing w:line="269" w:lineRule="auto" w:before="30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bank” of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consultation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for a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bank”;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304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tabs>
          <w:tab w:pos="4462" w:val="left"/>
        </w:tabs>
        <w:autoSpaceDE w:val="0"/>
        <w:widowControl/>
        <w:spacing w:line="257" w:lineRule="auto" w:before="306" w:after="20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licensed commercial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 the business or part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</w:t>
            </w:r>
          </w:p>
        </w:tc>
      </w:tr>
    </w:tbl>
    <w:p>
      <w:pPr>
        <w:autoSpaceDN w:val="0"/>
        <w:autoSpaceDE w:val="0"/>
        <w:widowControl/>
        <w:spacing w:line="271" w:lineRule="auto" w:before="20" w:after="0"/>
        <w:ind w:left="44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licensed specialised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 licensed finance company,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branch of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licensed specialised bank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finance company,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or to sell all or part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business;”;</w:t>
      </w:r>
    </w:p>
    <w:p>
      <w:pPr>
        <w:autoSpaceDN w:val="0"/>
        <w:tabs>
          <w:tab w:pos="3984" w:val="left"/>
        </w:tabs>
        <w:autoSpaceDE w:val="0"/>
        <w:widowControl/>
        <w:spacing w:line="269" w:lineRule="auto" w:before="30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“within Sri Lanka:”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Sri Lanka subject to an application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time;”;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638" w:val="left"/>
        </w:tabs>
        <w:autoSpaceDE w:val="0"/>
        <w:widowControl/>
        <w:spacing w:line="259" w:lineRule="auto" w:before="490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“licensed commercial bank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licensed specialised bank.”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commercial bank,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specialised bank or a licensed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company;”;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76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of the following:-</w:t>
      </w:r>
    </w:p>
    <w:p>
      <w:pPr>
        <w:autoSpaceDN w:val="0"/>
        <w:tabs>
          <w:tab w:pos="3118" w:val="left"/>
        </w:tabs>
        <w:autoSpaceDE w:val="0"/>
        <w:widowControl/>
        <w:spacing w:line="259" w:lineRule="auto" w:before="276" w:after="0"/>
        <w:ind w:left="26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licensed commercial bank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specialised bank to acquire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part of the 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financial institution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regulation or supervision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62" w:lineRule="auto" w:before="276" w:after="0"/>
        <w:ind w:left="2156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approval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 or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granted, unless the Central Bank is satisfied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acquisition or merger or consolidation is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 of promotion of a safe, sound and stable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system, and the fair competition prevailing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banking industry. When granting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 acquisition under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or a body corporate,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determining whether such individual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directors of such body corporate,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are fit and proper persons, have regard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set out in subsection (2) of section 42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addition to the following matters:-</w:t>
      </w:r>
    </w:p>
    <w:p>
      <w:pPr>
        <w:autoSpaceDN w:val="0"/>
        <w:tabs>
          <w:tab w:pos="2638" w:val="left"/>
        </w:tabs>
        <w:autoSpaceDE w:val="0"/>
        <w:widowControl/>
        <w:spacing w:line="250" w:lineRule="auto" w:before="276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track record of the individual or the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49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soundness and feasibility of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plans of the individual or body corporate;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76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sufficiency of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individual or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source of continuing financial support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licensed commercial bank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legitimacy of such sources of funding;</w:t>
      </w:r>
    </w:p>
    <w:p>
      <w:pPr>
        <w:autoSpaceDN w:val="0"/>
        <w:tabs>
          <w:tab w:pos="3982" w:val="left"/>
        </w:tabs>
        <w:autoSpaceDE w:val="0"/>
        <w:widowControl/>
        <w:spacing w:line="254" w:lineRule="auto" w:before="27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record and experience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for the preceding three years;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982" w:val="left"/>
        </w:tabs>
        <w:autoSpaceDE w:val="0"/>
        <w:widowControl/>
        <w:spacing w:line="250" w:lineRule="auto" w:before="276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transparency in ownership structure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beneficial ownership.”;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0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59" w:lineRule="auto" w:before="276" w:after="0"/>
        <w:ind w:left="350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individual, partnership or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not, either directly or indirectly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 nominee or acting in concert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individual, partnership or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acquire a material interest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incorporated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under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without the prior written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</w:t>
      </w:r>
    </w:p>
    <w:p>
      <w:pPr>
        <w:autoSpaceDN w:val="0"/>
        <w:autoSpaceDE w:val="0"/>
        <w:widowControl/>
        <w:spacing w:line="257" w:lineRule="auto" w:before="276" w:after="0"/>
        <w:ind w:left="350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generality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(2), approval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subsection may be granted subject to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as the Central Bank may deem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fit.</w:t>
      </w:r>
    </w:p>
    <w:p>
      <w:pPr>
        <w:autoSpaceDN w:val="0"/>
        <w:autoSpaceDE w:val="0"/>
        <w:widowControl/>
        <w:spacing w:line="250" w:lineRule="auto" w:before="276" w:after="0"/>
        <w:ind w:left="3504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secretary of a  licensed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98" w:lineRule="auto" w:before="51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not enter in the share register,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index of shareholders or in any other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to keep records of shareholders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bank, the name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an entity (whether corporate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unincorporate) or a nominee of such individual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 who has acquired the material interest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such person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recognized as a shareholder or a person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as a shareholder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autoSpaceDE w:val="0"/>
        <w:widowControl/>
        <w:spacing w:line="300" w:lineRule="auto" w:before="352" w:after="0"/>
        <w:ind w:left="217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where the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committed by an existing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the licensed commercial bank, it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lawful for the Central Bank to direct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remove the name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from the share register, index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shareholders or any other register maintained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 records of shareholders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as the case may be,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time as may be specified in such directions.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the duty of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to comply with such direction with effect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direction for removal, and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shall not be considered or deemed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such licensed commercial bank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shareholder complies with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38" w:lineRule="auto" w:before="350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purposes of this subsection,-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66" w:lineRule="auto" w:before="496" w:after="0"/>
        <w:ind w:left="4362" w:right="1416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“acting in concert” means acting pursuant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understanding (whether formal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informal) to actively co-operate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acquiring a material interest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so as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or consolidate the control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licensed commercial bank;</w:t>
      </w:r>
    </w:p>
    <w:p>
      <w:pPr>
        <w:autoSpaceDN w:val="0"/>
        <w:autoSpaceDE w:val="0"/>
        <w:widowControl/>
        <w:spacing w:line="269" w:lineRule="auto" w:before="294" w:after="0"/>
        <w:ind w:left="4362" w:right="1414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 interest” means the holding of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issued capital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voting rights or, if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determines that there exists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influence over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nominate, appoint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remove a director, chief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an officer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to exercise 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the policies of such bank pursuant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 contract or otherwise.”;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the Monetary Board with the concurrence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Minister.” of the words “by the Central Bank.”;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immediately after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66" w:lineRule="auto" w:before="294" w:after="0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provisions in this Act or any other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where the Central Bank is satisfied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information submitted by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on its own findings that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individual, partnership or body corporate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4" w:lineRule="auto" w:before="486" w:after="0"/>
        <w:ind w:left="2158" w:right="278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acquired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of such bank in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any terms or conditions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granted thereunder, it shall be lawful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to direct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such individual, partnership or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as the case may be, to dispose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subject to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Central Bank may consider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after giving such bank or individual,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body corporate an opportunity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autoSpaceDE w:val="0"/>
        <w:widowControl/>
        <w:spacing w:line="254" w:lineRule="auto" w:before="264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Until the disposal is effected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the Central Bank may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whose material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acquired or the individual, partnership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who has contravened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section, or both such bank and the individual,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and the body corporate,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be, to give effect to, one or more of the following:-</w:t>
      </w:r>
    </w:p>
    <w:p>
      <w:pPr>
        <w:autoSpaceDN w:val="0"/>
        <w:tabs>
          <w:tab w:pos="2578" w:val="left"/>
        </w:tabs>
        <w:autoSpaceDE w:val="0"/>
        <w:widowControl/>
        <w:spacing w:line="247" w:lineRule="auto" w:before="266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suspend the exercise of voting rights entitled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shareholding or part thereof;</w:t>
      </w:r>
    </w:p>
    <w:p>
      <w:pPr>
        <w:autoSpaceDN w:val="0"/>
        <w:autoSpaceDE w:val="0"/>
        <w:widowControl/>
        <w:spacing w:line="252" w:lineRule="auto" w:before="264" w:after="0"/>
        <w:ind w:left="25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to the contrary in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prohibit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accruing any distribution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pertaining to such shareholding or part thereof;</w:t>
      </w:r>
    </w:p>
    <w:p>
      <w:pPr>
        <w:autoSpaceDN w:val="0"/>
        <w:autoSpaceDE w:val="0"/>
        <w:widowControl/>
        <w:spacing w:line="252" w:lineRule="auto" w:before="266" w:after="0"/>
        <w:ind w:left="257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 the licensed commercial bank issuing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shares to or pursue any offer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individual, partnership or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contravened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autoSpaceDE w:val="0"/>
        <w:widowControl/>
        <w:spacing w:line="247" w:lineRule="auto" w:before="266" w:after="0"/>
        <w:ind w:left="2578" w:right="2736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except in a liquidation, prohibit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paying any sums due,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47" w:lineRule="auto" w:before="484" w:after="0"/>
        <w:ind w:left="39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form of distribution,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partnership or body corporate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contravened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autoSpaceDE w:val="0"/>
        <w:widowControl/>
        <w:spacing w:line="247" w:lineRule="auto" w:before="252" w:after="0"/>
        <w:ind w:left="39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further details of such shareholding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acquired in contravention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Central Bank, in such manner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 may determine; or</w:t>
      </w:r>
    </w:p>
    <w:p>
      <w:pPr>
        <w:autoSpaceDN w:val="0"/>
        <w:autoSpaceDE w:val="0"/>
        <w:widowControl/>
        <w:spacing w:line="250" w:lineRule="auto" w:before="252" w:after="192"/>
        <w:ind w:left="39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request a licensed stock exchange or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Depository System to impose a restriction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trading of shares held in excess of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by any shareholder as a locked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balance of his share account, until further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to that effect is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(1) thereof, by the substitution for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 “(1) The Monetary Board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Minister,” of the words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figure “(1) The Central Bank may,”;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2" w:after="19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“before the Board under subsection (2),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Board shall,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-” of the words “before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(2), the Central Bank shall, –”.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of the following, immediately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(4) thereof:-</w:t>
            </w:r>
          </w:p>
        </w:tc>
      </w:tr>
    </w:tbl>
    <w:p>
      <w:pPr>
        <w:autoSpaceDN w:val="0"/>
        <w:autoSpaceDE w:val="0"/>
        <w:widowControl/>
        <w:spacing w:line="247" w:lineRule="auto" w:before="116" w:after="0"/>
        <w:ind w:left="3202" w:right="143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Any licensed commercial bank having a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subsidiary that does not provide services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licensed commercial bank or its banking group 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78" w:after="180"/>
        <w:ind w:left="18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appointed date, shall divest its ownership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equity share capital of such subsidiary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appointed date, after notifying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such decision and the manner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bank will discontinue the business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by such subsidiary.”.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2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“and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Minister, determine,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time.” of the words “determine,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time.”;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45" w:lineRule="auto" w:before="240" w:after="0"/>
        <w:ind w:left="2176" w:right="276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licensed commercial bank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such variation to augment its equity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capital, it shall upon application to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be afforded a period of twelve months,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period as may be granted by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Bank, in which to comply with that requirement.”;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45" w:lineRule="auto" w:before="242" w:after="0"/>
        <w:ind w:left="2176" w:right="276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variation in the capital adequacy ratio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communicated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every licensed commercial bank by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in writing, provided that every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which is required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 to augment its capital, shall be afforded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twelve months or such other period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granted by the Central Bank, in which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requirement.”;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(9)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47" w:lineRule="auto" w:before="248" w:after="188"/>
        <w:ind w:left="3484" w:right="145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Central Bank may require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additional capital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consider appropriate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specific risks emanating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of such licensed commercial bank.”.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5" w:lineRule="auto" w:before="60" w:after="0"/>
              <w:ind w:left="1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“Liquid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licensed commercial bank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at all times maintain liquid assets that</w:t>
            </w:r>
          </w:p>
        </w:tc>
      </w:tr>
    </w:tbl>
    <w:p>
      <w:pPr>
        <w:autoSpaceDN w:val="0"/>
        <w:autoSpaceDE w:val="0"/>
        <w:widowControl/>
        <w:spacing w:line="247" w:lineRule="auto" w:before="4" w:after="4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to meet its liabilities as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time,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and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on liquidity having regard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developments in the regulatory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requirements, and the Central Bank shall,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far as practicable, adopt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standards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liquidity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bank.</w:t>
      </w:r>
    </w:p>
    <w:p>
      <w:pPr>
        <w:autoSpaceDN w:val="0"/>
        <w:autoSpaceDE w:val="0"/>
        <w:widowControl/>
        <w:spacing w:line="247" w:lineRule="auto" w:before="250" w:after="194"/>
        <w:ind w:left="3844" w:right="145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Central Bank may,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time, determine additional liquid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required to be maintained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meet liabilities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every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such assets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ratios as may be directed by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54" w:lineRule="auto" w:before="60" w:after="0"/>
              <w:ind w:left="1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498" w:val="left"/>
          <w:tab w:pos="2798" w:val="left"/>
        </w:tabs>
        <w:autoSpaceDE w:val="0"/>
        <w:widowControl/>
        <w:spacing w:line="259" w:lineRule="auto" w:before="486" w:after="21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“Payment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may, from time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dividends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having considered the capital or liquidity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levels of a licensed commercial bank,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such licensed commercial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conditions to be met by such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declaring or paying dividends,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scrip or otherwise, or transfer of profits earned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Lanka,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section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section 22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7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198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Central Bank may,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 any foreign currency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carrying on offshore banking business.”.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478" w:right="66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used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offshore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banking</w:t>
      </w:r>
    </w:p>
    <w:p>
      <w:pPr>
        <w:autoSpaceDN w:val="0"/>
        <w:autoSpaceDE w:val="0"/>
        <w:widowControl/>
        <w:spacing w:line="235" w:lineRule="auto" w:before="54" w:after="202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IV of the principal enactment is hereby repealed.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IV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8"/>
        <w:ind w:left="647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0" w:lineRule="auto" w:before="60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“Preparation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58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35. Every licensed commercial bank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maintain accounts and records and prepare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in accordance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73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accounting standards.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of a licensed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249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represent a true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accurate assessment of the bank’s affairs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 its operations and financial condition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both on a solo and consolidated basis.”.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8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4" w:lineRule="auto" w:before="254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4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</w:tr>
      <w:tr>
        <w:trPr>
          <w:trHeight w:hRule="exact" w:val="91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56" w:after="0"/>
              <w:ind w:left="82" w:right="71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or established within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shall,-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within three months after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closure of its financial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35" w:lineRule="auto" w:before="18" w:after="18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Supervision, its audited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solo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consolidated basis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in respect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in and outside Sri Lanka;</w:t>
      </w:r>
    </w:p>
    <w:p>
      <w:pPr>
        <w:autoSpaceDN w:val="0"/>
        <w:tabs>
          <w:tab w:pos="4702" w:val="left"/>
        </w:tabs>
        <w:autoSpaceDE w:val="0"/>
        <w:widowControl/>
        <w:spacing w:line="262" w:lineRule="auto" w:before="296" w:after="18"/>
        <w:ind w:left="42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 such statements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place at each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places of business until the</w:t>
      </w:r>
      <w:r>
        <w:rPr>
          <w:rFonts w:ascii="Times" w:hAnsi="Times" w:eastAsia="Times"/>
          <w:b w:val="0"/>
          <w:i w:val="0"/>
          <w:color w:val="221F1F"/>
          <w:sz w:val="20"/>
        </w:rPr>
        <w:t>solo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47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the succeeding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are prepared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exhibited; and</w:t>
      </w:r>
    </w:p>
    <w:p>
      <w:pPr>
        <w:autoSpaceDN w:val="0"/>
        <w:tabs>
          <w:tab w:pos="4702" w:val="left"/>
        </w:tabs>
        <w:autoSpaceDE w:val="0"/>
        <w:widowControl/>
        <w:spacing w:line="262" w:lineRule="auto" w:before="296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such statements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within the period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at least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0"/>
        <w:ind w:left="33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p>
      <w:pPr>
        <w:autoSpaceDN w:val="0"/>
        <w:tabs>
          <w:tab w:pos="2876" w:val="left"/>
        </w:tabs>
        <w:autoSpaceDE w:val="0"/>
        <w:widowControl/>
        <w:spacing w:line="247" w:lineRule="auto" w:before="264" w:after="0"/>
        <w:ind w:left="251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incorporated outside Sri Lanka</w:t>
      </w:r>
      <w:r>
        <w:rPr>
          <w:rFonts w:ascii="Times" w:hAnsi="Times" w:eastAsia="Times"/>
          <w:b w:val="0"/>
          <w:i w:val="0"/>
          <w:color w:val="221F1F"/>
          <w:sz w:val="20"/>
        </w:rPr>
        <w:t>shall,-</w:t>
      </w:r>
    </w:p>
    <w:p>
      <w:pPr>
        <w:autoSpaceDN w:val="0"/>
        <w:tabs>
          <w:tab w:pos="3356" w:val="left"/>
        </w:tabs>
        <w:autoSpaceDE w:val="0"/>
        <w:widowControl/>
        <w:spacing w:line="247" w:lineRule="auto" w:before="266" w:after="8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 within three months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closure of its financial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3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its audited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such financial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its business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3356" w:val="left"/>
        </w:tabs>
        <w:autoSpaceDE w:val="0"/>
        <w:widowControl/>
        <w:spacing w:line="254" w:lineRule="auto" w:before="266" w:after="0"/>
        <w:ind w:left="29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 such statements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place at each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 of business until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financial year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prepared and exhibited; and</w:t>
      </w:r>
    </w:p>
    <w:p>
      <w:pPr>
        <w:autoSpaceDN w:val="0"/>
        <w:tabs>
          <w:tab w:pos="3356" w:val="left"/>
        </w:tabs>
        <w:autoSpaceDE w:val="0"/>
        <w:widowControl/>
        <w:spacing w:line="254" w:lineRule="auto" w:before="264" w:after="0"/>
        <w:ind w:left="29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such statements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within the period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at least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p>
      <w:pPr>
        <w:autoSpaceDN w:val="0"/>
        <w:autoSpaceDE w:val="0"/>
        <w:widowControl/>
        <w:spacing w:line="254" w:lineRule="auto" w:before="264" w:after="0"/>
        <w:ind w:left="251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may specify the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financial statements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 and (2) including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requirements to be made and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form is specified, the financial statements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licensed commercial bank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in such form.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71" w:lineRule="auto" w:before="502" w:after="0"/>
        <w:ind w:left="3882" w:right="1418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Central Bank determines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 disclosure made under subsection (3)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contain information which is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contain or is otherwise false or misleading,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may, by notice in writing,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 such bank –</w:t>
      </w:r>
    </w:p>
    <w:p>
      <w:pPr>
        <w:autoSpaceDN w:val="0"/>
        <w:tabs>
          <w:tab w:pos="4722" w:val="left"/>
        </w:tabs>
        <w:autoSpaceDE w:val="0"/>
        <w:widowControl/>
        <w:spacing w:line="266" w:lineRule="auto" w:before="308" w:after="0"/>
        <w:ind w:left="43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 disclosure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information that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previously omitted;</w:t>
      </w:r>
    </w:p>
    <w:p>
      <w:pPr>
        <w:autoSpaceDN w:val="0"/>
        <w:tabs>
          <w:tab w:pos="4722" w:val="left"/>
          <w:tab w:pos="5652" w:val="left"/>
          <w:tab w:pos="6754" w:val="left"/>
          <w:tab w:pos="7422" w:val="left"/>
        </w:tabs>
        <w:autoSpaceDE w:val="0"/>
        <w:widowControl/>
        <w:spacing w:line="264" w:lineRule="auto" w:before="308" w:after="0"/>
        <w:ind w:left="43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 disclosure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misleading information; or</w:t>
      </w:r>
    </w:p>
    <w:p>
      <w:pPr>
        <w:autoSpaceDN w:val="0"/>
        <w:tabs>
          <w:tab w:pos="4722" w:val="left"/>
        </w:tabs>
        <w:autoSpaceDE w:val="0"/>
        <w:widowControl/>
        <w:spacing w:line="257" w:lineRule="auto" w:before="310" w:after="250"/>
        <w:ind w:left="43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such other corrective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notice.”.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47" w:lineRule="auto" w:before="6" w:after="0"/>
        <w:ind w:left="134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thereof, -</w:t>
      </w:r>
    </w:p>
    <w:p>
      <w:pPr>
        <w:autoSpaceDN w:val="0"/>
        <w:tabs>
          <w:tab w:pos="4002" w:val="left"/>
        </w:tabs>
        <w:autoSpaceDE w:val="0"/>
        <w:widowControl/>
        <w:spacing w:line="269" w:lineRule="auto" w:before="308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 balance sheet and profit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loss account” of the words “financial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statements”;</w:t>
      </w:r>
    </w:p>
    <w:p>
      <w:pPr>
        <w:autoSpaceDN w:val="0"/>
        <w:tabs>
          <w:tab w:pos="4002" w:val="left"/>
        </w:tabs>
        <w:autoSpaceDE w:val="0"/>
        <w:widowControl/>
        <w:spacing w:line="269" w:lineRule="auto" w:before="308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accounts, balance sheet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profit and loss account”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“financial statements”;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9" w:lineRule="auto" w:before="496" w:after="0"/>
        <w:ind w:left="215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there are findings which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of the auditor in the performance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under this Act, that-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292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losses have been incurred or likely to incur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materially reduce the capital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licensed commercial bank;</w:t>
      </w:r>
    </w:p>
    <w:p>
      <w:pPr>
        <w:autoSpaceDN w:val="0"/>
        <w:tabs>
          <w:tab w:pos="2878" w:val="left"/>
        </w:tabs>
        <w:autoSpaceDE w:val="0"/>
        <w:widowControl/>
        <w:spacing w:line="266" w:lineRule="auto" w:before="294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irregularities have been occurred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including the engagement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in unsound or unsafe practices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on of its business which is likely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jeopardize the interests of its depositors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creditors; or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292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obligations to the depositors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 are not sufficiently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covered by the assets of such bank,</w:t>
      </w:r>
    </w:p>
    <w:p>
      <w:pPr>
        <w:autoSpaceDN w:val="0"/>
        <w:autoSpaceDE w:val="0"/>
        <w:widowControl/>
        <w:spacing w:line="264" w:lineRule="auto" w:before="29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 shall immediately report such findings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matter that can materially affect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and soundness of the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 to the Director of Bank Supervision.”;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(2)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69" w:lineRule="auto" w:before="294" w:after="0"/>
        <w:ind w:left="215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Every report specified in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completed within two months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financial year, shall contain a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 as to whether in his opinion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contain a true and fair view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bank’s financial position including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provisions relating to issuing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financial statements and making disclosures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licensed commercial bank and  where the auditor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62" w:lineRule="auto" w:before="49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called for an explanation or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officer or agent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whether such explanation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is satisfactory.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Central Bank.”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bank.”;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autoSpaceDE w:val="0"/>
        <w:widowControl/>
        <w:spacing w:line="266" w:lineRule="auto" w:before="292" w:after="0"/>
        <w:ind w:left="3504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Central Bank is of the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additional audit is required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in respect of one or more aspects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and affairs of a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the Director of Bank Supervision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bank to conduct an additional audit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aspects and the cost of such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autoSpaceDE w:val="0"/>
        <w:widowControl/>
        <w:spacing w:line="266" w:lineRule="auto" w:before="294" w:after="0"/>
        <w:ind w:left="3502" w:right="1436" w:firstLine="3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of sections 38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39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appointment, duties and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remuneration of auditors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respect of any auditor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to conduct an additional audit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section.”;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subsection (7)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59" w:lineRule="auto" w:before="294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engagement partner of the auditor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shall be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of Chartered Accountants of Sri Lanka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4" w:lineRule="auto" w:before="492" w:after="0"/>
        <w:ind w:left="21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not be subject to any disqualification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in Sri Lanka or abroad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being appointed as an auditor.</w:t>
      </w:r>
    </w:p>
    <w:p>
      <w:pPr>
        <w:autoSpaceDN w:val="0"/>
        <w:autoSpaceDE w:val="0"/>
        <w:widowControl/>
        <w:spacing w:line="257" w:lineRule="auto" w:before="282" w:after="0"/>
        <w:ind w:left="2138" w:right="280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licensed commercial bank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the auditor of such bank once in every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shall change the engagement partner once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every three years.</w:t>
      </w:r>
    </w:p>
    <w:p>
      <w:pPr>
        <w:autoSpaceDN w:val="0"/>
        <w:autoSpaceDE w:val="0"/>
        <w:widowControl/>
        <w:spacing w:line="259" w:lineRule="auto" w:before="282" w:after="220"/>
        <w:ind w:left="2138" w:right="280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licensed commercial bank which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already appointed an auditor shall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within a period of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from the appointed date.”;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(8) thereof.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6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2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“or any of its subsidiaries,” of the words “on solo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consolidated basis”.</w:t>
            </w:r>
          </w:p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2" w:lineRule="auto" w:before="282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38" w:val="left"/>
          <w:tab w:pos="6478" w:val="left"/>
        </w:tabs>
        <w:autoSpaceDE w:val="0"/>
        <w:widowControl/>
        <w:spacing w:line="245" w:lineRule="auto" w:before="4" w:after="0"/>
        <w:ind w:left="173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(2) thereof, -</w:t>
      </w:r>
    </w:p>
    <w:p>
      <w:pPr>
        <w:autoSpaceDN w:val="0"/>
        <w:tabs>
          <w:tab w:pos="2618" w:val="left"/>
        </w:tabs>
        <w:autoSpaceDE w:val="0"/>
        <w:widowControl/>
        <w:spacing w:line="250" w:lineRule="auto" w:before="282" w:after="0"/>
        <w:ind w:left="22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62" w:lineRule="auto" w:before="282" w:after="0"/>
        <w:ind w:left="3038" w:right="2802" w:hanging="4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possesses academic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qualifications and effective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banking, finance,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accounting,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information technology,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management, law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discipline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tabs>
          <w:tab w:pos="3924" w:val="left"/>
        </w:tabs>
        <w:autoSpaceDE w:val="0"/>
        <w:widowControl/>
        <w:spacing w:line="247" w:lineRule="auto" w:before="49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7" w:lineRule="auto" w:before="248" w:after="0"/>
        <w:ind w:left="4404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is not subject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proceedings, inquiry or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consequent upon being served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a charge involving fraud,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deceit, dishonesty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activity, by any court, tribunal,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authority, supervisory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professional association,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Inquiry,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established by law,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outside Sri Lanka.”;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(4) thereof,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7" w:lineRule="auto" w:before="248" w:after="0"/>
        <w:ind w:left="3504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 Every licensed commercial bank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notify the Director of Bank Supervision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as may be determined by the Director of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the name, address and occupation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considers necessary, any further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-</w:t>
      </w:r>
    </w:p>
    <w:p>
      <w:pPr>
        <w:autoSpaceDN w:val="0"/>
        <w:tabs>
          <w:tab w:pos="3984" w:val="left"/>
        </w:tabs>
        <w:autoSpaceDE w:val="0"/>
        <w:widowControl/>
        <w:spacing w:line="245" w:lineRule="auto" w:before="25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proposed to be appointed, elected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nominated as a director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before such appointment,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election or nomination, as the case may be;</w:t>
      </w:r>
    </w:p>
    <w:p>
      <w:pPr>
        <w:autoSpaceDN w:val="0"/>
        <w:tabs>
          <w:tab w:pos="3984" w:val="left"/>
        </w:tabs>
        <w:autoSpaceDE w:val="0"/>
        <w:widowControl/>
        <w:spacing w:line="247" w:lineRule="auto" w:before="248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director of such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if such bank is aware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a fit and proper person or where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becomes otherwise ineligible to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as such director, within fifteen days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bank becoming aware of such facts.”;</w:t>
      </w:r>
    </w:p>
    <w:p>
      <w:pPr>
        <w:autoSpaceDN w:val="0"/>
        <w:tabs>
          <w:tab w:pos="3504" w:val="left"/>
        </w:tabs>
        <w:autoSpaceDE w:val="0"/>
        <w:widowControl/>
        <w:spacing w:line="238" w:lineRule="auto" w:before="25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subsection (4)</w:t>
      </w:r>
    </w:p>
    <w:p>
      <w:pPr>
        <w:autoSpaceDN w:val="0"/>
        <w:autoSpaceDE w:val="0"/>
        <w:widowControl/>
        <w:spacing w:line="235" w:lineRule="auto" w:before="32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83" w:lineRule="auto" w:before="512" w:after="0"/>
        <w:ind w:left="2176" w:right="276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of Bank Supervision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notice under subsection (4), if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necessary, cause further investigation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 himself in relation to any of the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 or (2).”;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(7)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88" w:lineRule="auto" w:before="342" w:after="0"/>
        <w:ind w:left="2176" w:right="276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A licensed commercial bank shall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elect or nominate as a director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bank, a person whose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appointment, election or nomination,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has not been approved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or subsection (6) and no such director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to carry out any duty or function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licensed commercial bank in any capacity.”;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(12)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90" w:lineRule="auto" w:before="342" w:after="0"/>
        <w:ind w:left="2176" w:right="276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“(12) The Board of Directors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have the duty to oversee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governance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and be ultimately responsible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that the business of such bank is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compliance with all applicable laws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safe and sound banking practices.”;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(12)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45" w:lineRule="auto" w:before="480" w:after="186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“(13)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written law, the Central Bank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time, determine the number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of Directors of a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which number shall not be less than seven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case.”.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4" w:right="716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(1) thereof,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186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Chief Executive Officer and such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a licensed commercial bank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shall be fit and proper persons to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respective positions, and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42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apply in determining whether such 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fit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proper persons.”.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10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  <w:tc>
          <w:tcPr>
            <w:tcW w:type="dxa" w:w="4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50" w:right="716" w:firstLine="2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pursuance to findings of any examination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conducted on affairs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bank, is satisfied at any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or an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that a person who previously held office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 director, the chief executive officer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performing executive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bank has committed or has been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licensed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the commission of any act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who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previously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involving fraud, deceit, dishonesty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criminal activity or any other</w:t>
            </w:r>
          </w:p>
        </w:tc>
      </w:tr>
      <w:tr>
        <w:trPr>
          <w:trHeight w:hRule="exact" w:val="72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held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positions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bank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improper conduct during the period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served in such office which may disqualify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be a fit and proper person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2" w:lineRule="auto" w:before="492" w:after="0"/>
        <w:ind w:left="251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appointed, elected or nominated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chief executive officer or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or any other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regulated and supervised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Bank, it shall be lawful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to determine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fit and proper, notwithstanding the fact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whether such person no longer holds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at the time of making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autoSpaceDN w:val="0"/>
        <w:autoSpaceDE w:val="0"/>
        <w:widowControl/>
        <w:spacing w:line="257" w:lineRule="auto" w:before="280" w:after="0"/>
        <w:ind w:left="2516" w:right="2760" w:firstLine="2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shall,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such determination ensure that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been offered an opportunity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autoSpaceDE w:val="0"/>
        <w:widowControl/>
        <w:spacing w:line="262" w:lineRule="auto" w:before="282" w:after="222"/>
        <w:ind w:left="2516" w:right="2762" w:firstLine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so determined as not fit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proper under subsection (1)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be appointed, elected, nominated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continued as a director, chief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other officer performing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a licensed commercial bank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financial institution regulated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supervised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Part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6" w:right="136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conflict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inconsistency between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of this Act and the provisions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for the time being in force,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Part shall prevail.”.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“directions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licensed commercial banks” of the words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45" w:lineRule="auto" w:before="484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“directions to licensed commercial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asset size, scale, diversity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complexity of operations of such banks”;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5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  therefor, of the following:-</w:t>
      </w:r>
    </w:p>
    <w:p>
      <w:pPr>
        <w:autoSpaceDN w:val="0"/>
        <w:tabs>
          <w:tab w:pos="4024" w:val="left"/>
        </w:tabs>
        <w:autoSpaceDE w:val="0"/>
        <w:widowControl/>
        <w:spacing w:line="250" w:lineRule="auto" w:before="254" w:after="0"/>
        <w:ind w:left="352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limit on large exposures which,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equity capital, reserves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deposits of such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considerations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including, as far as practicable,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international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on large exposures,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by such bank-</w:t>
      </w:r>
    </w:p>
    <w:p>
      <w:pPr>
        <w:autoSpaceDN w:val="0"/>
        <w:tabs>
          <w:tab w:pos="4444" w:val="left"/>
        </w:tabs>
        <w:autoSpaceDE w:val="0"/>
        <w:widowControl/>
        <w:spacing w:line="245" w:lineRule="auto" w:before="254" w:after="0"/>
        <w:ind w:left="406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single company,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firm, association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or an individual; or</w:t>
      </w:r>
    </w:p>
    <w:p>
      <w:pPr>
        <w:autoSpaceDN w:val="0"/>
        <w:tabs>
          <w:tab w:pos="4446" w:val="left"/>
        </w:tabs>
        <w:autoSpaceDE w:val="0"/>
        <w:widowControl/>
        <w:spacing w:line="235" w:lineRule="auto" w:before="254" w:after="0"/>
        <w:ind w:left="40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aggregate to-</w:t>
      </w:r>
    </w:p>
    <w:p>
      <w:pPr>
        <w:autoSpaceDN w:val="0"/>
        <w:tabs>
          <w:tab w:pos="4924" w:val="left"/>
        </w:tabs>
        <w:autoSpaceDE w:val="0"/>
        <w:widowControl/>
        <w:spacing w:line="247" w:lineRule="auto" w:before="254" w:after="0"/>
        <w:ind w:left="447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(A)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individual, his close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or to a company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firm in which he or his close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have a substantial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interest; or</w:t>
      </w:r>
    </w:p>
    <w:p>
      <w:pPr>
        <w:autoSpaceDN w:val="0"/>
        <w:tabs>
          <w:tab w:pos="4924" w:val="left"/>
        </w:tabs>
        <w:autoSpaceDE w:val="0"/>
        <w:widowControl/>
        <w:spacing w:line="245" w:lineRule="auto" w:before="254" w:after="0"/>
        <w:ind w:left="448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(B)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group of connected borrowers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at least one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criteria is satisfied:-</w:t>
      </w:r>
    </w:p>
    <w:p>
      <w:pPr>
        <w:autoSpaceDN w:val="0"/>
        <w:tabs>
          <w:tab w:pos="5344" w:val="left"/>
          <w:tab w:pos="5404" w:val="left"/>
        </w:tabs>
        <w:autoSpaceDE w:val="0"/>
        <w:widowControl/>
        <w:spacing w:line="247" w:lineRule="auto" w:before="254" w:after="0"/>
        <w:ind w:left="49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and one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each other:-</w:t>
      </w:r>
    </w:p>
    <w:p>
      <w:pPr>
        <w:autoSpaceDN w:val="0"/>
        <w:autoSpaceDE w:val="0"/>
        <w:widowControl/>
        <w:spacing w:line="238" w:lineRule="auto" w:before="260" w:after="0"/>
        <w:ind w:left="0" w:right="2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its 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492" w:after="0"/>
        <w:ind w:left="0" w:right="28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its holding company;</w:t>
      </w:r>
    </w:p>
    <w:p>
      <w:pPr>
        <w:autoSpaceDN w:val="0"/>
        <w:autoSpaceDE w:val="0"/>
        <w:widowControl/>
        <w:spacing w:line="238" w:lineRule="auto" w:before="214" w:after="0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its associate company;</w:t>
      </w:r>
    </w:p>
    <w:p>
      <w:pPr>
        <w:autoSpaceDN w:val="0"/>
        <w:autoSpaceDE w:val="0"/>
        <w:widowControl/>
        <w:spacing w:line="245" w:lineRule="auto" w:before="200" w:after="0"/>
        <w:ind w:left="3888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subsidiary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company;</w:t>
      </w:r>
    </w:p>
    <w:p>
      <w:pPr>
        <w:autoSpaceDN w:val="0"/>
        <w:tabs>
          <w:tab w:pos="4396" w:val="left"/>
          <w:tab w:pos="5600" w:val="left"/>
          <w:tab w:pos="5632" w:val="left"/>
          <w:tab w:pos="6040" w:val="left"/>
        </w:tabs>
        <w:autoSpaceDE w:val="0"/>
        <w:widowControl/>
        <w:spacing w:line="245" w:lineRule="auto" w:before="202" w:after="0"/>
        <w:ind w:left="40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company in which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or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subsidiary,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company,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subsidiary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company,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substantial interest;</w:t>
      </w:r>
    </w:p>
    <w:p>
      <w:pPr>
        <w:autoSpaceDN w:val="0"/>
        <w:autoSpaceDE w:val="0"/>
        <w:widowControl/>
        <w:spacing w:line="245" w:lineRule="auto" w:before="200" w:after="140"/>
        <w:ind w:left="4396" w:right="2764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an individual having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 interest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company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close relations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individual;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6" w:after="0"/>
              <w:ind w:left="0" w:right="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 any other company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1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</w:t>
            </w:r>
          </w:p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1282"/>
        </w:trPr>
        <w:tc>
          <w:tcPr>
            <w:tcW w:type="dxa" w:w="1804"/>
            <w:vMerge/>
            <w:tcBorders/>
          </w:tcPr>
          <w:p/>
        </w:tc>
        <w:tc>
          <w:tcPr>
            <w:tcW w:type="dxa" w:w="3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3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indirect control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company as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determined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Bank;</w:t>
            </w:r>
          </w:p>
          <w:p>
            <w:pPr>
              <w:autoSpaceDN w:val="0"/>
              <w:autoSpaceDE w:val="0"/>
              <w:widowControl/>
              <w:spacing w:line="238" w:lineRule="auto" w:before="19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interdependence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</w:p>
        </w:tc>
      </w:tr>
      <w:tr>
        <w:trPr>
          <w:trHeight w:hRule="exact" w:val="424"/>
        </w:trPr>
        <w:tc>
          <w:tcPr>
            <w:tcW w:type="dxa" w:w="1804"/>
            <w:vMerge/>
            <w:tcBorders/>
          </w:tcPr>
          <w:p/>
        </w:tc>
        <w:tc>
          <w:tcPr>
            <w:tcW w:type="dxa" w:w="3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borrowers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Central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3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predetermined criteria: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2956" w:right="2764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it shall be lawful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paragraph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 from the appointed</w:t>
      </w:r>
    </w:p>
    <w:p>
      <w:pPr>
        <w:autoSpaceDN w:val="0"/>
        <w:autoSpaceDE w:val="0"/>
        <w:widowControl/>
        <w:spacing w:line="238" w:lineRule="auto" w:before="18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date or such other period as may be</w:t>
      </w:r>
    </w:p>
    <w:p>
      <w:pPr>
        <w:autoSpaceDN w:val="0"/>
        <w:autoSpaceDE w:val="0"/>
        <w:widowControl/>
        <w:spacing w:line="235" w:lineRule="auto" w:before="32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0" w:lineRule="auto" w:before="246" w:after="0"/>
              <w:ind w:left="16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57" w:lineRule="auto" w:before="276" w:after="0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subsections (3), (4), (5),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(6), (7), (11) and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apply to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and such persons shall comply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provisions:–</w:t>
      </w:r>
    </w:p>
    <w:p>
      <w:pPr>
        <w:autoSpaceDN w:val="0"/>
        <w:tabs>
          <w:tab w:pos="4002" w:val="left"/>
        </w:tabs>
        <w:autoSpaceDE w:val="0"/>
        <w:widowControl/>
        <w:spacing w:line="259" w:lineRule="auto" w:before="276" w:after="0"/>
        <w:ind w:left="360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chief executive officer or an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 respect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granted other than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granted to such officer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scheme applicable to the employees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bank;</w:t>
      </w:r>
    </w:p>
    <w:p>
      <w:pPr>
        <w:autoSpaceDN w:val="0"/>
        <w:tabs>
          <w:tab w:pos="4002" w:val="left"/>
        </w:tabs>
        <w:autoSpaceDE w:val="0"/>
        <w:widowControl/>
        <w:spacing w:line="254" w:lineRule="auto" w:before="276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shareholder of a licensed commercial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material interest, whether individual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 concern;</w:t>
      </w:r>
    </w:p>
    <w:p>
      <w:pPr>
        <w:autoSpaceDN w:val="0"/>
        <w:tabs>
          <w:tab w:pos="4002" w:val="left"/>
        </w:tabs>
        <w:autoSpaceDE w:val="0"/>
        <w:widowControl/>
        <w:spacing w:line="250" w:lineRule="auto" w:before="276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subsidiary or an associate company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commercial bank;</w:t>
      </w:r>
    </w:p>
    <w:p>
      <w:pPr>
        <w:autoSpaceDN w:val="0"/>
        <w:tabs>
          <w:tab w:pos="4002" w:val="left"/>
        </w:tabs>
        <w:autoSpaceDE w:val="0"/>
        <w:widowControl/>
        <w:spacing w:line="257" w:lineRule="auto" w:before="276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holding company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subsidiaries,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excluding the parent bank and subsidiaries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bank incorporated outside Sri Lanka;</w:t>
      </w:r>
    </w:p>
    <w:p>
      <w:pPr>
        <w:autoSpaceDN w:val="0"/>
        <w:tabs>
          <w:tab w:pos="4002" w:val="left"/>
        </w:tabs>
        <w:autoSpaceDE w:val="0"/>
        <w:widowControl/>
        <w:spacing w:line="259" w:lineRule="auto" w:before="276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director of a subsidiary or an associate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of the licensed commercial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director of a holding company and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636" w:val="left"/>
        </w:tabs>
        <w:autoSpaceDE w:val="0"/>
        <w:widowControl/>
        <w:spacing w:line="266" w:lineRule="auto" w:before="512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close relation of a person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636" w:val="left"/>
        </w:tabs>
        <w:autoSpaceDE w:val="0"/>
        <w:widowControl/>
        <w:spacing w:line="266" w:lineRule="auto" w:before="34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concern, whose director or partner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 of such bank; and</w:t>
      </w:r>
    </w:p>
    <w:p>
      <w:pPr>
        <w:autoSpaceDN w:val="0"/>
        <w:tabs>
          <w:tab w:pos="2636" w:val="left"/>
        </w:tabs>
        <w:autoSpaceDE w:val="0"/>
        <w:widowControl/>
        <w:spacing w:line="276" w:lineRule="auto" w:before="34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concern in which a material shareholder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or any of his close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relations has substantial interest.</w:t>
      </w:r>
    </w:p>
    <w:p>
      <w:pPr>
        <w:autoSpaceDN w:val="0"/>
        <w:autoSpaceDE w:val="0"/>
        <w:widowControl/>
        <w:spacing w:line="281" w:lineRule="auto" w:before="340" w:after="0"/>
        <w:ind w:left="215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 referred to in subsection 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contravenes the provisions of subsection (3),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(4), (5), (6), (7), (11) or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commits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Act.”;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3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subsection (13)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88" w:lineRule="auto" w:before="342" w:after="0"/>
        <w:ind w:left="215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may require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deduct the amount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granted by such bank in excess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limits specified in subsection (4), to any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for the purposes of calculating the regulatory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ratios under subsection (7) of section 19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excess to be secured by such security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Central Bank.</w:t>
      </w:r>
    </w:p>
    <w:p>
      <w:pPr>
        <w:autoSpaceDN w:val="0"/>
        <w:autoSpaceDE w:val="0"/>
        <w:widowControl/>
        <w:spacing w:line="283" w:lineRule="auto" w:before="342" w:after="0"/>
        <w:ind w:left="215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minimum period of time that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may afford to a licensed commercial bank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period of twelve months or such other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Central Bank,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case shall not exceed a period of three years.”.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VIIA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86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57" w:lineRule="auto" w:before="258" w:after="0"/>
              <w:ind w:left="2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VIIA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2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59" w:lineRule="auto" w:before="60" w:after="0"/>
              <w:ind w:left="1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5" w:lineRule="auto" w:before="6" w:after="234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59" w:lineRule="auto" w:before="60" w:after="0"/>
              <w:ind w:left="1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66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and figure “in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54 the name of such bank shall be removed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list of licensed commercial banks and”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and figure “in section 54”;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and figure “in accordance with section 72.”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 “in accordance with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72; and”;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74" w:lineRule="auto" w:before="310" w:after="0"/>
        <w:ind w:left="4084" w:right="141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monies or other articles held in a safe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box which have not been paid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returned to the rightful owners under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54, have been transferred to a special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Bank or are disposed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directions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for such purpose,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be.”;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the marginal note to that section,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5" w:lineRule="auto" w:before="486" w:after="0"/>
        <w:ind w:left="2736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“Distribution of the outstanding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assets among the owners of the</w:t>
      </w:r>
    </w:p>
    <w:p>
      <w:pPr>
        <w:autoSpaceDN w:val="0"/>
        <w:autoSpaceDE w:val="0"/>
        <w:widowControl/>
        <w:spacing w:line="238" w:lineRule="auto" w:before="56" w:after="27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licensed commercial bank”.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9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57 to 69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principal</w:t>
            </w:r>
          </w:p>
        </w:tc>
      </w:tr>
      <w:tr>
        <w:trPr>
          <w:trHeight w:hRule="exact" w:val="16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and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from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76" w:right="1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56. Once all outstanding assets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section 55, the Director of Bank Supervision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direct such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voluntary winding up to submit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audited financial statements of such bank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for its approval. Once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list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audited financial statements are approved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8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the Central Bank shall cancel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licence issued to such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and the name of such bank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removed from the list of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banks.”.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214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57 to 69 (both inclusive) of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are hereby 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24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3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(4), by the substitution for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figures “with the undertaking. The provisions of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63 and 68 shall apply to the winding up of the affairs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section.” of the words “with the undertaking.”.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72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and figures “(1) In addition to the articles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sections 63 and 68 the articles” of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“(1) The articles”.</w:t>
            </w:r>
          </w:p>
          <w:p>
            <w:pPr>
              <w:autoSpaceDN w:val="0"/>
              <w:autoSpaceDE w:val="0"/>
              <w:widowControl/>
              <w:spacing w:line="235" w:lineRule="auto" w:before="212" w:after="0"/>
              <w:ind w:left="9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38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thereof.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4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6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11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72" w:after="0"/>
              <w:ind w:left="12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Monetary Board may with the concurrence of the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98"/>
        <w:ind w:left="0" w:right="2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Minister,” of the words “the Central Bank may,”.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20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Part V” of the words and figures “provisions</w:t>
            </w:r>
          </w:p>
        </w:tc>
      </w:tr>
    </w:tbl>
    <w:p>
      <w:pPr>
        <w:autoSpaceDN w:val="0"/>
        <w:autoSpaceDE w:val="0"/>
        <w:widowControl/>
        <w:spacing w:line="238" w:lineRule="auto" w:before="32" w:after="296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section 21, Part V”.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71" w:lineRule="auto" w:before="60" w:after="0"/>
              <w:ind w:left="20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as follows:-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522" w:val="left"/>
        </w:tabs>
        <w:autoSpaceDE w:val="0"/>
        <w:widowControl/>
        <w:spacing w:line="288" w:lineRule="auto" w:before="108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“regarding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in which any aspect of the business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particular-”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95" w:lineRule="auto" w:before="356" w:after="298"/>
        <w:ind w:left="40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“considering the asset size, scale, diversity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complexity of operations of such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for reasons to be stated in writing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of them, regarding the manner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aspect of the business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 -”;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6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</w:tr>
      <w:tr>
        <w:trPr>
          <w:trHeight w:hRule="exact" w:val="10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90" w:after="0"/>
              <w:ind w:left="20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section 45 shall,” of the words and figures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17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“provisions of sections 45, 47, 48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49 and 49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shall,”.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0"/>
        </w:trPr>
        <w:tc>
          <w:tcPr>
            <w:tcW w:type="dxa" w:w="5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4" w:lineRule="auto" w:before="252" w:after="0"/>
              <w:ind w:left="7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 thereof,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subparagraph (i), and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bank is incorporated or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309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law, proceedings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the bank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 under the provisions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time being in force,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winding up of the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and licensed specialised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Lanka.”;</w:t>
      </w:r>
    </w:p>
    <w:p>
      <w:pPr>
        <w:autoSpaceDN w:val="0"/>
        <w:tabs>
          <w:tab w:pos="2618" w:val="left"/>
        </w:tabs>
        <w:autoSpaceDE w:val="0"/>
        <w:widowControl/>
        <w:spacing w:line="257" w:lineRule="auto" w:before="290" w:after="0"/>
        <w:ind w:left="22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subparagraph (ii) thereof,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tabs>
          <w:tab w:pos="3098" w:val="left"/>
        </w:tabs>
        <w:autoSpaceDE w:val="0"/>
        <w:widowControl/>
        <w:spacing w:line="269" w:lineRule="auto" w:before="290" w:after="0"/>
        <w:ind w:left="25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bank is incorporated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business of such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the licence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76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closed down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affairs shall be wound up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any written law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in force,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specifically provides for the winding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of the licensed commercial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licensed specialised banks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Lanka.”; and</w:t>
      </w:r>
    </w:p>
    <w:p>
      <w:pPr>
        <w:autoSpaceDN w:val="0"/>
        <w:tabs>
          <w:tab w:pos="2138" w:val="left"/>
        </w:tabs>
        <w:autoSpaceDE w:val="0"/>
        <w:widowControl/>
        <w:spacing w:line="257" w:lineRule="auto" w:before="290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subsections 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(3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(3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(3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11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79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(1), by the substitution for the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figures “subsection (3) of section 33, subsection (3)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41” of the words and figures “subsection (3) of section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8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41”.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5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</w:tr>
      <w:tr>
        <w:trPr>
          <w:trHeight w:hRule="exact" w:val="1290"/>
        </w:trPr>
        <w:tc>
          <w:tcPr>
            <w:tcW w:type="dxa" w:w="30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62" w:right="71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Without prejudice to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time being in force, it shall be lawful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after affording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of being heard, to impose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on any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contravenes the provisions of subsections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section 12, section 19,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21, subsection (1) of section 38 or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46 of this Act.</w:t>
      </w:r>
    </w:p>
    <w:p>
      <w:pPr>
        <w:autoSpaceDN w:val="0"/>
        <w:autoSpaceDE w:val="0"/>
        <w:widowControl/>
        <w:spacing w:line="245" w:lineRule="auto" w:before="238" w:after="0"/>
        <w:ind w:left="386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Bank shall, in determining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impose an administrative fine, take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consideration-</w:t>
      </w:r>
    </w:p>
    <w:p>
      <w:pPr>
        <w:autoSpaceDN w:val="0"/>
        <w:tabs>
          <w:tab w:pos="4642" w:val="left"/>
        </w:tabs>
        <w:autoSpaceDE w:val="0"/>
        <w:widowControl/>
        <w:spacing w:line="238" w:lineRule="auto" w:before="236" w:after="0"/>
        <w:ind w:left="4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gravity of such contravention;</w:t>
      </w:r>
    </w:p>
    <w:p>
      <w:pPr>
        <w:autoSpaceDN w:val="0"/>
        <w:tabs>
          <w:tab w:pos="4642" w:val="left"/>
        </w:tabs>
        <w:autoSpaceDE w:val="0"/>
        <w:widowControl/>
        <w:spacing w:line="245" w:lineRule="auto" w:before="238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there is any recurrence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contravention;</w:t>
      </w:r>
    </w:p>
    <w:p>
      <w:pPr>
        <w:autoSpaceDN w:val="0"/>
        <w:tabs>
          <w:tab w:pos="4642" w:val="left"/>
        </w:tabs>
        <w:autoSpaceDE w:val="0"/>
        <w:widowControl/>
        <w:spacing w:line="245" w:lineRule="auto" w:before="238" w:after="0"/>
        <w:ind w:left="4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any loss or damage is caused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depositors or any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consequent of such contravention;</w:t>
      </w:r>
    </w:p>
    <w:p>
      <w:pPr>
        <w:autoSpaceDN w:val="0"/>
        <w:tabs>
          <w:tab w:pos="4642" w:val="left"/>
        </w:tabs>
        <w:autoSpaceDE w:val="0"/>
        <w:widowControl/>
        <w:spacing w:line="245" w:lineRule="auto" w:before="236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person against whom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is to be imposed is unduly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benefitted from such contravention;</w:t>
      </w:r>
    </w:p>
    <w:p>
      <w:pPr>
        <w:autoSpaceDN w:val="0"/>
        <w:tabs>
          <w:tab w:pos="4642" w:val="left"/>
        </w:tabs>
        <w:autoSpaceDE w:val="0"/>
        <w:widowControl/>
        <w:spacing w:line="235" w:lineRule="auto" w:before="236" w:after="0"/>
        <w:ind w:left="4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financial resources of such</w:t>
      </w:r>
    </w:p>
    <w:p>
      <w:pPr>
        <w:autoSpaceDN w:val="0"/>
        <w:autoSpaceDE w:val="0"/>
        <w:widowControl/>
        <w:spacing w:line="235" w:lineRule="auto" w:before="38" w:after="0"/>
        <w:ind w:left="0" w:right="3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3298" w:val="left"/>
        </w:tabs>
        <w:autoSpaceDE w:val="0"/>
        <w:widowControl/>
        <w:spacing w:line="238" w:lineRule="auto" w:before="524" w:after="0"/>
        <w:ind w:left="28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mitigating factors; and</w:t>
      </w:r>
    </w:p>
    <w:p>
      <w:pPr>
        <w:autoSpaceDN w:val="0"/>
        <w:tabs>
          <w:tab w:pos="3296" w:val="left"/>
        </w:tabs>
        <w:autoSpaceDE w:val="0"/>
        <w:widowControl/>
        <w:spacing w:line="276" w:lineRule="auto" w:before="376" w:after="0"/>
        <w:ind w:left="2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matters as it considers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relevant.</w:t>
      </w:r>
    </w:p>
    <w:p>
      <w:pPr>
        <w:autoSpaceDN w:val="0"/>
        <w:autoSpaceDE w:val="0"/>
        <w:widowControl/>
        <w:spacing w:line="300" w:lineRule="auto" w:before="378" w:after="318"/>
        <w:ind w:left="239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shall determine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and manner for imposing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on a person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and the amount of such fine, in proportion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contravention so committed.”.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“and such bank”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“licensed specialised bank and such bank”.</w:t>
            </w:r>
          </w:p>
          <w:p>
            <w:pPr>
              <w:autoSpaceDN w:val="0"/>
              <w:autoSpaceDE w:val="0"/>
              <w:widowControl/>
              <w:spacing w:line="295" w:lineRule="auto" w:before="67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74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“Delegation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Central Bank may, if it considers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its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delegate any of its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under this Act to the Governor,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Governor, Assistant Governor, Director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0" w:lineRule="auto" w:before="22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 Bank Supervision or any other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who shall not be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Head of the Department, or any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officers of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to carry on any such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tabs>
          <w:tab w:pos="3844" w:val="left"/>
          <w:tab w:pos="4144" w:val="left"/>
        </w:tabs>
        <w:autoSpaceDE w:val="0"/>
        <w:widowControl/>
        <w:spacing w:line="245" w:lineRule="auto" w:before="492" w:after="0"/>
        <w:ind w:left="28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Central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83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Central Bank may, by notice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writing, inform any person other than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to </w:t>
      </w:r>
      <w:r>
        <w:rPr>
          <w:rFonts w:ascii="Times" w:hAnsi="Times" w:eastAsia="Times"/>
          <w:b w:val="0"/>
          <w:i w:val="0"/>
          <w:color w:val="221F1F"/>
          <w:sz w:val="20"/>
        </w:rPr>
        <w:t>licensed commercial bank, a licensed</w:t>
      </w:r>
    </w:p>
    <w:p>
      <w:pPr>
        <w:autoSpaceDN w:val="0"/>
        <w:tabs>
          <w:tab w:pos="3844" w:val="left"/>
        </w:tabs>
        <w:autoSpaceDE w:val="0"/>
        <w:widowControl/>
        <w:spacing w:line="245" w:lineRule="auto" w:before="0" w:after="0"/>
        <w:ind w:left="28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furnish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specialised bank, a director, Chief Executive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an officer performing executive </w:t>
      </w:r>
      <w:r>
        <w:rPr>
          <w:rFonts w:ascii="Times" w:hAnsi="Times" w:eastAsia="Times"/>
          <w:b w:val="0"/>
          <w:i w:val="0"/>
          <w:color w:val="221F1F"/>
          <w:sz w:val="16"/>
        </w:rPr>
        <w:t>&amp; c.</w:t>
      </w:r>
    </w:p>
    <w:p>
      <w:pPr>
        <w:autoSpaceDN w:val="0"/>
        <w:autoSpaceDE w:val="0"/>
        <w:widowControl/>
        <w:spacing w:line="262" w:lineRule="auto" w:before="0" w:after="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such bank, to furnish, within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specified in the notice,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produce any document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 and as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autoSpaceDN w:val="0"/>
        <w:autoSpaceDE w:val="0"/>
        <w:widowControl/>
        <w:spacing w:line="262" w:lineRule="auto" w:before="278" w:after="222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written law, it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duty of any person who receives a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such notice within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50" w:lineRule="auto" w:before="60" w:after="0"/>
              <w:ind w:left="1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86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“accommodation”, of the following:-</w:t>
      </w:r>
    </w:p>
    <w:p>
      <w:pPr>
        <w:autoSpaceDN w:val="0"/>
        <w:autoSpaceDE w:val="0"/>
        <w:widowControl/>
        <w:spacing w:line="257" w:lineRule="auto" w:before="282" w:after="0"/>
        <w:ind w:left="4204" w:right="14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““Auditor General” means the Auditor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Article 153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Constitution;”;</w:t>
      </w:r>
    </w:p>
    <w:p>
      <w:pPr>
        <w:autoSpaceDN w:val="0"/>
        <w:tabs>
          <w:tab w:pos="3484" w:val="left"/>
        </w:tabs>
        <w:autoSpaceDE w:val="0"/>
        <w:widowControl/>
        <w:spacing w:line="257" w:lineRule="auto" w:before="278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“banking business”,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57" w:lineRule="auto" w:before="282" w:after="0"/>
        <w:ind w:left="4204" w:right="1456" w:hanging="48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““beneficial owner” means a natural person who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ultimately owns or controls ten 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>or more of a company, in whole or in part,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54" w:lineRule="auto" w:before="486" w:after="0"/>
        <w:ind w:left="2878" w:right="2782" w:firstLine="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through direct or indirect ownership or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control of shares or voting rights or other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ownership interest in that company, and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also includes a natural person who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exercises effective control through other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means, and beneficial ownership is to be </w:t>
      </w:r>
      <w:r>
        <w:br/>
      </w:r>
      <w:r>
        <w:rPr>
          <w:rFonts w:ascii="Times" w:hAnsi="Times" w:eastAsia="Times"/>
          <w:b w:val="0"/>
          <w:i w:val="0"/>
          <w:color w:val="333D3B"/>
          <w:sz w:val="20"/>
        </w:rPr>
        <w:t>construed accordingly;</w:t>
      </w:r>
    </w:p>
    <w:p>
      <w:pPr>
        <w:autoSpaceDN w:val="0"/>
        <w:autoSpaceDE w:val="0"/>
        <w:widowControl/>
        <w:spacing w:line="254" w:lineRule="auto" w:before="266" w:after="0"/>
        <w:ind w:left="287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Directors of a branch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incorporated outside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means the Head Office or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such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supervises the respective branch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committee for which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overseeing the management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by such Head Office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Office, as the case may be, to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Board of Directors of such branch;”;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“concern” of the following:-</w:t>
      </w:r>
    </w:p>
    <w:p>
      <w:pPr>
        <w:autoSpaceDN w:val="0"/>
        <w:autoSpaceDE w:val="0"/>
        <w:widowControl/>
        <w:spacing w:line="252" w:lineRule="auto" w:before="266" w:after="0"/>
        <w:ind w:left="287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““control relationship” means the ability of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borrower of a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influence over the activities of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borrowers of such bank;”;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“Director of Bank Supervision”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p>
      <w:pPr>
        <w:autoSpaceDN w:val="0"/>
        <w:autoSpaceDE w:val="0"/>
        <w:widowControl/>
        <w:spacing w:line="257" w:lineRule="auto" w:before="264" w:after="0"/>
        <w:ind w:left="287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““Director of Bank Supervision” means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Central Bank who is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entrusted with the regulation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and licensed specialised banks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tabs>
          <w:tab w:pos="3184" w:val="left"/>
        </w:tabs>
        <w:autoSpaceDE w:val="0"/>
        <w:widowControl/>
        <w:spacing w:line="252" w:lineRule="auto" w:before="496" w:after="0"/>
        <w:ind w:left="277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“domestic banking business”, and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p>
      <w:pPr>
        <w:autoSpaceDN w:val="0"/>
        <w:autoSpaceDE w:val="0"/>
        <w:widowControl/>
        <w:spacing w:line="254" w:lineRule="auto" w:before="264" w:after="0"/>
        <w:ind w:left="3904" w:right="17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““economic interdependence”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dependence of one borrower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on a business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borrower of such bank where it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that the financial difficulties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latter may impair the repayment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first mentioned borrower;</w:t>
      </w:r>
    </w:p>
    <w:p>
      <w:pPr>
        <w:autoSpaceDN w:val="0"/>
        <w:autoSpaceDE w:val="0"/>
        <w:widowControl/>
        <w:spacing w:line="254" w:lineRule="auto" w:before="264" w:after="0"/>
        <w:ind w:left="3904" w:right="17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“engagement partner” means the partner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the audit firm who is responsible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audit engagement and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performance, and for the auditor’s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issued on behalf of the audit firm,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who, where required, has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authority from a professional,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legal or regulatory body;</w:t>
      </w:r>
    </w:p>
    <w:p>
      <w:pPr>
        <w:autoSpaceDN w:val="0"/>
        <w:tabs>
          <w:tab w:pos="3904" w:val="left"/>
        </w:tabs>
        <w:autoSpaceDE w:val="0"/>
        <w:widowControl/>
        <w:spacing w:line="247" w:lineRule="auto" w:before="266" w:after="0"/>
        <w:ind w:left="342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“exposures” means accommodation and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investments;”;</w:t>
      </w:r>
    </w:p>
    <w:p>
      <w:pPr>
        <w:autoSpaceDN w:val="0"/>
        <w:tabs>
          <w:tab w:pos="3184" w:val="left"/>
        </w:tabs>
        <w:autoSpaceDE w:val="0"/>
        <w:widowControl/>
        <w:spacing w:line="250" w:lineRule="auto" w:before="264" w:after="0"/>
        <w:ind w:left="277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“head office of a commercial bank”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57" w:lineRule="auto" w:before="264" w:after="0"/>
        <w:ind w:left="3904" w:right="17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““international standards” means the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comprise of principles, guidelines,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processes, or characteristics, that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through the consensus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from many countries and published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globally recognized institution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Basel Committee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Supervision,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Board and such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 setting institution;”;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Act, No. 24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138" w:val="left"/>
        </w:tabs>
        <w:autoSpaceDE w:val="0"/>
        <w:widowControl/>
        <w:spacing w:line="250" w:lineRule="auto" w:before="49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“local authority” of the following:-</w:t>
      </w:r>
    </w:p>
    <w:p>
      <w:pPr>
        <w:autoSpaceDN w:val="0"/>
        <w:autoSpaceDE w:val="0"/>
        <w:widowControl/>
        <w:spacing w:line="254" w:lineRule="auto" w:before="278" w:after="0"/>
        <w:ind w:left="2858" w:right="2802" w:hanging="5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in terms of Article 44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45 of the Constitution;”;</w:t>
      </w:r>
    </w:p>
    <w:p>
      <w:pPr>
        <w:autoSpaceDN w:val="0"/>
        <w:tabs>
          <w:tab w:pos="2138" w:val="left"/>
        </w:tabs>
        <w:autoSpaceDE w:val="0"/>
        <w:widowControl/>
        <w:spacing w:line="250" w:lineRule="auto" w:before="278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“Monetary Board” of the following:-</w:t>
      </w:r>
    </w:p>
    <w:p>
      <w:pPr>
        <w:autoSpaceDN w:val="0"/>
        <w:autoSpaceDE w:val="0"/>
        <w:widowControl/>
        <w:spacing w:line="259" w:lineRule="auto" w:before="278" w:after="0"/>
        <w:ind w:left="285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““non-financial subsidiary” means a subsidiary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licensed commercial bank or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specialised bank which carries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other than the business of a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‘financial sector participant’ as defined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Sri Lanka Act, No.16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2023;”;</w:t>
      </w:r>
    </w:p>
    <w:p>
      <w:pPr>
        <w:autoSpaceDN w:val="0"/>
        <w:tabs>
          <w:tab w:pos="2138" w:val="left"/>
        </w:tabs>
        <w:autoSpaceDE w:val="0"/>
        <w:widowControl/>
        <w:spacing w:line="250" w:lineRule="auto" w:before="278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“non-resident” of the following:-</w:t>
      </w:r>
    </w:p>
    <w:p>
      <w:pPr>
        <w:autoSpaceDN w:val="0"/>
        <w:autoSpaceDE w:val="0"/>
        <w:widowControl/>
        <w:spacing w:line="259" w:lineRule="auto" w:before="278" w:after="0"/>
        <w:ind w:left="285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““offshore banking business”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banking business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designated foreign currency to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residents, and to certain residents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Central Bank,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p>
      <w:pPr>
        <w:autoSpaceDN w:val="0"/>
        <w:autoSpaceDE w:val="0"/>
        <w:widowControl/>
        <w:spacing w:line="257" w:lineRule="auto" w:before="278" w:after="0"/>
        <w:ind w:left="285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“physical presence” means meaningful mind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management located within a country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does not include simple or mere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 local agent or low-level staff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country; ”;</w:t>
      </w:r>
    </w:p>
    <w:p>
      <w:pPr>
        <w:autoSpaceDN w:val="0"/>
        <w:tabs>
          <w:tab w:pos="2138" w:val="left"/>
        </w:tabs>
        <w:autoSpaceDE w:val="0"/>
        <w:widowControl/>
        <w:spacing w:line="252" w:lineRule="auto" w:before="278" w:after="0"/>
        <w:ind w:left="16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</w:t>
      </w:r>
      <w:r>
        <w:rPr>
          <w:rFonts w:ascii="Times" w:hAnsi="Times" w:eastAsia="Times"/>
          <w:b w:val="0"/>
          <w:i w:val="0"/>
          <w:color w:val="221F1F"/>
          <w:sz w:val="20"/>
        </w:rPr>
        <w:t>“resident” of the following: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 Act, No. 24 of 2024</w:t>
      </w:r>
    </w:p>
    <w:p>
      <w:pPr>
        <w:autoSpaceDN w:val="0"/>
        <w:autoSpaceDE w:val="0"/>
        <w:widowControl/>
        <w:spacing w:line="269" w:lineRule="auto" w:before="504" w:after="0"/>
        <w:ind w:left="424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““shareholder” shall have the same meaning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in the Companies Act, No. 07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2007;</w:t>
      </w:r>
    </w:p>
    <w:p>
      <w:pPr>
        <w:autoSpaceDN w:val="0"/>
        <w:autoSpaceDE w:val="0"/>
        <w:widowControl/>
        <w:spacing w:line="276" w:lineRule="auto" w:before="318" w:after="0"/>
        <w:ind w:left="424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“shell bank” means a bank that has no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in the country in which it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licensed, and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unaffiliated with a financial group that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effective consolidated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supervision;”;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6" w:after="0"/>
        <w:ind w:left="30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definition of the expression “substantial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interest” by the substitution for the words “on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such firm.” of the words “on behalf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firm;”; and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18" w:after="0"/>
        <w:ind w:left="30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“substantial interest”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autoSpaceDE w:val="0"/>
        <w:widowControl/>
        <w:spacing w:line="269" w:lineRule="auto" w:before="318" w:after="254"/>
        <w:ind w:left="424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““unlawful activity”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given in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Laundering Act, No. 5 of 2006.”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II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62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II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59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by the substitution for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“to the buyer.” of the words “to the buyer;”; and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1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38" w:lineRule="auto" w:before="314" w:after="0"/>
        <w:ind w:left="0" w:right="1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>) conducting offshore banking business.”.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6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Schemes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formulated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Monetary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</w:p>
        </w:tc>
      </w:tr>
      <w:tr>
        <w:trPr>
          <w:trHeight w:hRule="exact" w:val="18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52" w:after="0"/>
              <w:ind w:left="738" w:right="102" w:firstLine="316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by this Act,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Scheme formulated by the Monetary Board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that section shall continue to be in force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of depositors and creditors of the defaulting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that subsection are settled in full in accordance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3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the terms and conditions of such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81"/>
        <w:gridCol w:w="4581"/>
      </w:tblGrid>
      <w:tr>
        <w:trPr>
          <w:trHeight w:hRule="exact" w:val="9434"/>
        </w:trPr>
        <w:tc>
          <w:tcPr>
            <w:tcW w:type="dxa" w:w="1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4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 Act, No. 24 of 2024</w:t>
            </w:r>
          </w:p>
        </w:tc>
      </w:tr>
      <w:tr>
        <w:trPr>
          <w:trHeight w:hRule="exact" w:val="416"/>
        </w:trPr>
        <w:tc>
          <w:tcPr>
            <w:tcW w:type="dxa" w:w="6250"/>
            <w:gridSpan w:val="2"/>
            <w:tcBorders>
              <w:top w:sz="3.8399999141693115" w:val="single" w:color="#221F1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English Acts of the Parliament can be purchased at the “P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RAKASHANA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IYASA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”,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OF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N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 118,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ILVA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AWATHA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C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1440" w:right="129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