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0" w:right="28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PARTITION (AMENDMENT)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27 OF 2024</w:t>
      </w:r>
    </w:p>
    <w:p>
      <w:pPr>
        <w:autoSpaceDN w:val="0"/>
        <w:autoSpaceDE w:val="0"/>
        <w:widowControl/>
        <w:spacing w:line="235" w:lineRule="auto" w:before="1072" w:after="0"/>
        <w:ind w:left="0" w:right="30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 May,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17,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p>
      <w:pPr>
        <w:autoSpaceDN w:val="0"/>
        <w:autoSpaceDE w:val="0"/>
        <w:widowControl/>
        <w:spacing w:line="235" w:lineRule="auto" w:before="256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May, 2024]</w:t>
      </w:r>
    </w:p>
    <w:p>
      <w:pPr>
        <w:autoSpaceDN w:val="0"/>
        <w:autoSpaceDE w:val="0"/>
        <w:widowControl/>
        <w:spacing w:line="238" w:lineRule="auto" w:before="24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84240"/>
          <w:sz w:val="20"/>
        </w:rPr>
        <w:t>L.D.-O. 68/2021</w:t>
      </w:r>
    </w:p>
    <w:p>
      <w:pPr>
        <w:autoSpaceDN w:val="0"/>
        <w:autoSpaceDE w:val="0"/>
        <w:widowControl/>
        <w:spacing w:line="235" w:lineRule="auto" w:before="296" w:after="0"/>
        <w:ind w:left="18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1977</w:t>
      </w:r>
    </w:p>
    <w:p>
      <w:pPr>
        <w:autoSpaceDN w:val="0"/>
        <w:autoSpaceDE w:val="0"/>
        <w:widowControl/>
        <w:spacing w:line="245" w:lineRule="auto" w:before="242" w:after="6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3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Partition (Amendment)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27 of 2024.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 of the Partition Law, No. 21 of 1977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3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Law, No. 21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1977</w:t>
            </w:r>
          </w:p>
        </w:tc>
      </w:tr>
      <w:tr>
        <w:trPr>
          <w:trHeight w:hRule="exact" w:val="3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(2) and (3) thereof,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subsections:-</w:t>
      </w:r>
    </w:p>
    <w:p>
      <w:pPr>
        <w:autoSpaceDN w:val="0"/>
        <w:autoSpaceDE w:val="0"/>
        <w:widowControl/>
        <w:spacing w:line="245" w:lineRule="auto" w:before="240" w:after="0"/>
        <w:ind w:left="217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“(2) Every Grama Niladhari to whom a copy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  and a copy of a translation thereof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registered post under subsection (1)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cause  the contents of the notice,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Schedule of the land or lands,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be exhibited in a banner displayed,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manner as may be prescribed by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conspicuous place in his office or close to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 for a period of not less than thirty days,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forward to the court  a report to that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</w:t>
      </w:r>
    </w:p>
    <w:p>
      <w:pPr>
        <w:autoSpaceDN w:val="0"/>
        <w:autoSpaceDE w:val="0"/>
        <w:widowControl/>
        <w:spacing w:line="245" w:lineRule="auto" w:before="126" w:after="0"/>
        <w:ind w:left="217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Grama Niladhari shall also cause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contents of the notice sent to him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this section, including the Schedule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or lands, as the case may be-</w:t>
      </w:r>
    </w:p>
    <w:p>
      <w:pPr>
        <w:autoSpaceDN w:val="0"/>
        <w:tabs>
          <w:tab w:pos="2896" w:val="left"/>
        </w:tabs>
        <w:autoSpaceDE w:val="0"/>
        <w:widowControl/>
        <w:spacing w:line="245" w:lineRule="auto" w:before="242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exhibited in a banner,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position in the land or lands,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in the manners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prescribed by regulations;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266" w:val="left"/>
          <w:tab w:pos="4416" w:val="left"/>
        </w:tabs>
        <w:autoSpaceDE w:val="0"/>
        <w:widowControl/>
        <w:spacing w:line="236" w:lineRule="exact" w:before="30" w:after="0"/>
        <w:ind w:left="28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p>
      <w:pPr>
        <w:autoSpaceDN w:val="0"/>
        <w:tabs>
          <w:tab w:pos="4242" w:val="left"/>
        </w:tabs>
        <w:autoSpaceDE w:val="0"/>
        <w:widowControl/>
        <w:spacing w:line="276" w:lineRule="auto" w:before="266" w:after="0"/>
        <w:ind w:left="384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orally proclaimed by way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announcement made using a loudspeaker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land or each of such lands and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place close to such land or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lands, as the case may be,</w:t>
      </w:r>
    </w:p>
    <w:p>
      <w:pPr>
        <w:autoSpaceDN w:val="0"/>
        <w:autoSpaceDE w:val="0"/>
        <w:widowControl/>
        <w:spacing w:line="271" w:lineRule="auto" w:before="320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forward to the court a report to that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Schedule.”; and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at the end of that section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subsection:-</w:t>
      </w:r>
    </w:p>
    <w:p>
      <w:pPr>
        <w:autoSpaceDN w:val="0"/>
        <w:autoSpaceDE w:val="0"/>
        <w:widowControl/>
        <w:spacing w:line="281" w:lineRule="auto" w:before="322" w:after="260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cost of the publication done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shall be borne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plaintiff in the first instance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recoverable 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”. The Grama Niladhari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an affidavit to the court affirming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publications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along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reports referred to in subsections (2) and (3)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within two months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receipt of such notice.”.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4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</w:tr>
    </w:tbl>
    <w:p>
      <w:pPr>
        <w:autoSpaceDN w:val="0"/>
        <w:autoSpaceDE w:val="0"/>
        <w:widowControl/>
        <w:spacing w:line="278" w:lineRule="auto" w:before="260" w:after="0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issued to a surveyor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this section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and shall have attached thereto a copy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plaint certified as a true copy by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 for the plaintiff.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30" w:val="left"/>
          <w:tab w:pos="6136" w:val="left"/>
        </w:tabs>
        <w:autoSpaceDE w:val="0"/>
        <w:widowControl/>
        <w:spacing w:line="248" w:lineRule="exact" w:before="0" w:after="0"/>
        <w:ind w:left="288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p>
      <w:pPr>
        <w:autoSpaceDN w:val="0"/>
        <w:autoSpaceDE w:val="0"/>
        <w:widowControl/>
        <w:spacing w:line="266" w:lineRule="auto" w:before="266" w:after="0"/>
        <w:ind w:left="215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court may, upon transmit to it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18 the plan prepared by the surveyor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commission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order to issue a further commission,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its own motion or at the instance of any party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action, authorizing-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66" w:lineRule="auto" w:before="292" w:after="0"/>
        <w:ind w:left="25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surveyor referred to in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surveyor whose name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list of surveyors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73, to survey any larger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smaller portion of the land that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surveyed under the commission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(1); or</w:t>
      </w:r>
    </w:p>
    <w:p>
      <w:pPr>
        <w:autoSpaceDN w:val="0"/>
        <w:tabs>
          <w:tab w:pos="2876" w:val="left"/>
        </w:tabs>
        <w:autoSpaceDE w:val="0"/>
        <w:widowControl/>
        <w:spacing w:line="266" w:lineRule="auto" w:before="292" w:after="0"/>
        <w:ind w:left="2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surveyor other than the surveyor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 and whose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is specified in the list of surveyors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73, to resurvey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that was surveyed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issued under subsection (1),</w:t>
      </w:r>
    </w:p>
    <w:p>
      <w:pPr>
        <w:autoSpaceDN w:val="0"/>
        <w:autoSpaceDE w:val="0"/>
        <w:widowControl/>
        <w:spacing w:line="266" w:lineRule="auto" w:before="290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court may also direct the surveyor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executes the further commission to superimpose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under the further commission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in the execution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subsection (1) or to carry out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matter necessary for the adjudication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action.</w:t>
      </w:r>
    </w:p>
    <w:p>
      <w:pPr>
        <w:autoSpaceDN w:val="0"/>
        <w:autoSpaceDE w:val="0"/>
        <w:widowControl/>
        <w:spacing w:line="266" w:lineRule="auto" w:before="294" w:after="0"/>
        <w:ind w:left="215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execution of the further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(4), (5) and (6) of this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provisions of sections 17 and 18 shall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in respect thereof.”.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266" w:val="left"/>
          <w:tab w:pos="4416" w:val="left"/>
        </w:tabs>
        <w:autoSpaceDE w:val="0"/>
        <w:widowControl/>
        <w:spacing w:line="236" w:lineRule="exact" w:before="30" w:after="214"/>
        <w:ind w:left="28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“after beat of tom-tom,” of the words “by way of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80"/>
        <w:ind w:left="0" w:right="2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public announcement made using a loudspeaker,”.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subparagraph (iv)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“the parties to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82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who were present at the survey,” of the words “the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the action who were present at the survey, the </w:t>
      </w:r>
      <w:r>
        <w:rPr>
          <w:rFonts w:ascii="Times" w:hAnsi="Times" w:eastAsia="Times"/>
          <w:b w:val="0"/>
          <w:i w:val="0"/>
          <w:color w:val="221F1F"/>
          <w:sz w:val="20"/>
        </w:rPr>
        <w:t>nature of their claims”.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words from “Every party to a partition action shall,”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“a list filed as aforesaid.” of the words-</w:t>
      </w:r>
    </w:p>
    <w:p>
      <w:pPr>
        <w:autoSpaceDN w:val="0"/>
        <w:autoSpaceDE w:val="0"/>
        <w:widowControl/>
        <w:spacing w:line="293" w:lineRule="auto" w:before="338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“Every party to a partition action shall, not 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thirty days before the date first fixed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of the action, file or cause to be filed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list of documents on which he relies to 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rights, share or interest to, of or in the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abstract of the contents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and a list of witnesses. Where a party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to intervene after the date first fixed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trial, such party shall file a list of documents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 of witnesses within thirty days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intervention. No party shall, except with the leave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court which may be granted on such term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determine, be permitted to put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witness in evidence on his behalf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if that document or witness is not listed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lists filed as aforesaid.”.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30" w:val="left"/>
          <w:tab w:pos="6136" w:val="left"/>
        </w:tabs>
        <w:autoSpaceDE w:val="0"/>
        <w:widowControl/>
        <w:spacing w:line="248" w:lineRule="exact" w:before="0" w:after="206"/>
        <w:ind w:left="288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24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“Amendments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Upon an application made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pleadings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before the day first fixed for trail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in the presence of, or after reasonable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to all the parties to the action,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full power of amending in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discretion, all pleadings in the action, by way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addition, or alteration, or of omission.</w:t>
      </w:r>
    </w:p>
    <w:p>
      <w:pPr>
        <w:autoSpaceDN w:val="0"/>
        <w:autoSpaceDE w:val="0"/>
        <w:widowControl/>
        <w:spacing w:line="269" w:lineRule="auto" w:before="292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or after the date the case is first 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trail, no application for the amendment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pleadings shall be allowed unless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for reasons to be recorded that grave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irremediable injustice will be caused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 thorough investigation of title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impeded, if such amendment is not permitted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costs or otherwise, and that the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 applying has not been guilty of laches.</w:t>
      </w:r>
    </w:p>
    <w:p>
      <w:pPr>
        <w:autoSpaceDN w:val="0"/>
        <w:autoSpaceDE w:val="0"/>
        <w:widowControl/>
        <w:spacing w:line="264" w:lineRule="auto" w:before="29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application for amendment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pleadings which may be allowed by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or (2) shall be upon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as to costs and postponement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court may think fit.</w:t>
      </w:r>
    </w:p>
    <w:p>
      <w:pPr>
        <w:autoSpaceDN w:val="0"/>
        <w:autoSpaceDE w:val="0"/>
        <w:widowControl/>
        <w:spacing w:line="266" w:lineRule="auto" w:before="29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additions or alterations or omissions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clearly made on the face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 affected by the order; or if this cannot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conveniently be done, a fair copy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 as altered shall be appended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the action to the pleading amended.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such addition or alteration or omission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signed by the Judge.”.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266" w:val="left"/>
          <w:tab w:pos="4416" w:val="left"/>
        </w:tabs>
        <w:autoSpaceDE w:val="0"/>
        <w:widowControl/>
        <w:spacing w:line="236" w:lineRule="exact" w:before="30" w:after="190"/>
        <w:ind w:left="28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(3)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</w:tr>
    </w:tbl>
    <w:p>
      <w:pPr>
        <w:autoSpaceDN w:val="0"/>
        <w:autoSpaceDE w:val="0"/>
        <w:widowControl/>
        <w:spacing w:line="257" w:lineRule="auto" w:before="154" w:after="206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court decides that the land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partitioned,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this section shall be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surveyor who made the preliminary survey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 unless the court decides to issue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surveyor whose name is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list referred to in section 73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fit,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section 73, to any other surveyor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of all parties who have been awarded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right by the interlocutory decree entered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0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(3)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“after beat of tom-tom,” of the words “by way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announcement made using a loudspeaker,”.</w:t>
            </w:r>
          </w:p>
          <w:p>
            <w:pPr>
              <w:autoSpaceDN w:val="0"/>
              <w:autoSpaceDE w:val="0"/>
              <w:widowControl/>
              <w:spacing w:line="247" w:lineRule="auto" w:before="27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dissatisfied with an order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leave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court under section 36 may prefer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for leave to appeal to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8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High Court established by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154P of the Constitution in terms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(2) of section 754 of the Civil Procedure Code</w:t>
      </w:r>
    </w:p>
    <w:p>
      <w:pPr>
        <w:autoSpaceDN w:val="0"/>
        <w:autoSpaceDE w:val="0"/>
        <w:widowControl/>
        <w:spacing w:line="235" w:lineRule="auto" w:before="44" w:after="282"/>
        <w:ind w:left="0" w:right="2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101) against such order.”.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02" w:right="71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“under sections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of the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figures  “under sections 36 and 45”.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30" w:val="left"/>
          <w:tab w:pos="6136" w:val="left"/>
        </w:tabs>
        <w:autoSpaceDE w:val="0"/>
        <w:widowControl/>
        <w:spacing w:line="248" w:lineRule="exact" w:before="0" w:after="200"/>
        <w:ind w:left="288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“by motion in that behalf,” of the words “by 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behalf, within ten years from the date of such final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4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decree or of the final decree, if any, on appeal affirming the </w:t>
      </w:r>
      <w:r>
        <w:rPr>
          <w:rFonts w:ascii="Times" w:hAnsi="Times" w:eastAsia="Times"/>
          <w:b w:val="0"/>
          <w:i w:val="0"/>
          <w:color w:val="221F1F"/>
          <w:sz w:val="20"/>
        </w:rPr>
        <w:t>same”.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cost incurred in the display of the banner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21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proclamation made under section 15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incurred in the proclamation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9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18" w:right="12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(3)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“damage to the land” of the words “damage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land, or making any alteration to the character of the land,”.</w:t>
            </w:r>
          </w:p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0" w:lineRule="auto" w:before="276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3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Form prescribed under subsection (2)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15 which bears the title “REPORT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GRAMA NILADHARI”-</w:t>
      </w:r>
    </w:p>
    <w:p>
      <w:pPr>
        <w:autoSpaceDN w:val="0"/>
        <w:tabs>
          <w:tab w:pos="2618" w:val="left"/>
          <w:tab w:pos="2638" w:val="left"/>
        </w:tabs>
        <w:autoSpaceDE w:val="0"/>
        <w:widowControl/>
        <w:spacing w:line="254" w:lineRule="auto" w:before="276" w:after="0"/>
        <w:ind w:left="22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“(Section 15(2))”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“(subsections (2) and (3) of section 15)”; and</w:t>
      </w:r>
    </w:p>
    <w:p>
      <w:pPr>
        <w:autoSpaceDN w:val="0"/>
        <w:tabs>
          <w:tab w:pos="2618" w:val="left"/>
          <w:tab w:pos="2638" w:val="left"/>
        </w:tabs>
        <w:autoSpaceDE w:val="0"/>
        <w:widowControl/>
        <w:spacing w:line="262" w:lineRule="auto" w:before="276" w:after="0"/>
        <w:ind w:left="22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“I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exhibited the annexed notice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translations on the notice board of my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....19....to.....19”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266" w:val="left"/>
          <w:tab w:pos="4416" w:val="left"/>
        </w:tabs>
        <w:autoSpaceDE w:val="0"/>
        <w:widowControl/>
        <w:spacing w:line="236" w:lineRule="exact" w:before="30" w:after="0"/>
        <w:ind w:left="28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p>
      <w:pPr>
        <w:autoSpaceDN w:val="0"/>
        <w:autoSpaceDE w:val="0"/>
        <w:widowControl/>
        <w:spacing w:line="269" w:lineRule="auto" w:before="258" w:after="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 have exhibited the contents of the notice,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Schedule of the land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banner displayed in a conspicuous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my office and in a conspicuous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land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orally proclaimed by way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announcement made using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loudspeaker at such land and at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close to such land from .... to ....”;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6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Form prescribed under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18 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the title “FORM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SURVEYOR’S REPORT”, by the repeal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(vi) thereof, and the substitution therefor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4222" w:val="left"/>
        </w:tabs>
        <w:autoSpaceDE w:val="0"/>
        <w:widowControl/>
        <w:spacing w:line="254" w:lineRule="auto" w:before="292" w:after="230"/>
        <w:ind w:left="3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“(vi) parties present and the nature of their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claims;”.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amendments made by section 3 of this Act to section 16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principal enactment shall apply to any action,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appeal instituted under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and pending or incomplete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coming into operation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4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2024</w:t>
      </w:r>
    </w:p>
    <w:p>
      <w:pPr>
        <w:autoSpaceDN w:val="0"/>
        <w:autoSpaceDE w:val="0"/>
        <w:widowControl/>
        <w:spacing w:line="245" w:lineRule="auto" w:before="8884" w:after="0"/>
        <w:ind w:left="1296" w:right="144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PRINTING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