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tabs>
          <w:tab w:pos="2966" w:val="left"/>
          <w:tab w:pos="3442" w:val="left"/>
        </w:tabs>
        <w:autoSpaceDE w:val="0"/>
        <w:widowControl/>
        <w:spacing w:line="245" w:lineRule="auto" w:before="898" w:after="0"/>
        <w:ind w:left="1744" w:right="158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KELANIYA BUDDHIST WOMEN’S CHARITABLE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SOCIETY (INCORPORATION) </w:t>
      </w:r>
      <w:r>
        <w:br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30 OF 2024</w:t>
      </w:r>
    </w:p>
    <w:p>
      <w:pPr>
        <w:autoSpaceDN w:val="0"/>
        <w:autoSpaceDE w:val="0"/>
        <w:widowControl/>
        <w:spacing w:line="235" w:lineRule="auto" w:before="604" w:after="0"/>
        <w:ind w:left="0" w:right="30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12th of  June,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5" w:lineRule="auto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14, 2024</w:t>
      </w:r>
    </w:p>
    <w:p>
      <w:pPr>
        <w:autoSpaceDN w:val="0"/>
        <w:autoSpaceDE w:val="0"/>
        <w:widowControl/>
        <w:spacing w:line="245" w:lineRule="auto" w:before="40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Kelaniya Buddhist Women's Charitable Society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30 of 2024</w:t>
      </w:r>
    </w:p>
    <w:p>
      <w:pPr>
        <w:autoSpaceDN w:val="0"/>
        <w:autoSpaceDE w:val="0"/>
        <w:widowControl/>
        <w:spacing w:line="235" w:lineRule="auto" w:before="266" w:after="0"/>
        <w:ind w:left="0" w:right="38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12th of June, 2024]</w:t>
      </w:r>
    </w:p>
    <w:p>
      <w:pPr>
        <w:autoSpaceDN w:val="0"/>
        <w:autoSpaceDE w:val="0"/>
        <w:widowControl/>
        <w:spacing w:line="238" w:lineRule="auto" w:before="29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 (Inc.) 06/2021</w:t>
      </w:r>
    </w:p>
    <w:p>
      <w:pPr>
        <w:autoSpaceDN w:val="0"/>
        <w:autoSpaceDE w:val="0"/>
        <w:widowControl/>
        <w:spacing w:line="254" w:lineRule="auto" w:before="292" w:after="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ELANIYA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UDDHIST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HARITABLE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OCIETY</w:t>
      </w:r>
    </w:p>
    <w:p>
      <w:pPr>
        <w:autoSpaceDN w:val="0"/>
        <w:tabs>
          <w:tab w:pos="6478" w:val="left"/>
        </w:tabs>
        <w:autoSpaceDE w:val="0"/>
        <w:widowControl/>
        <w:spacing w:line="264" w:lineRule="auto" w:before="292" w:after="0"/>
        <w:ind w:left="143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 a Society called and known as the “Kelaniya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Buddhist Women’s Charitable Society” has heretofore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in Sri Lanka for the purpose of effectually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its objects and transacting all matters connected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said Society according to the rules agreed to by its members:</w:t>
      </w:r>
    </w:p>
    <w:p>
      <w:pPr>
        <w:autoSpaceDN w:val="0"/>
        <w:autoSpaceDE w:val="0"/>
        <w:widowControl/>
        <w:spacing w:line="264" w:lineRule="auto" w:before="29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AND WHEREAS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Society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formed and has applied to be incorporated and </w:t>
      </w:r>
      <w:r>
        <w:rPr>
          <w:rFonts w:ascii="Times" w:hAnsi="Times" w:eastAsia="Times"/>
          <w:b w:val="0"/>
          <w:i w:val="0"/>
          <w:color w:val="221F1F"/>
          <w:sz w:val="20"/>
        </w:rPr>
        <w:t>it will be for the public advanatge to grant the said application:</w:t>
      </w:r>
    </w:p>
    <w:p>
      <w:pPr>
        <w:autoSpaceDN w:val="0"/>
        <w:autoSpaceDE w:val="0"/>
        <w:widowControl/>
        <w:spacing w:line="254" w:lineRule="auto" w:before="29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:-</w:t>
      </w:r>
    </w:p>
    <w:p>
      <w:pPr>
        <w:autoSpaceDN w:val="0"/>
        <w:tabs>
          <w:tab w:pos="1678" w:val="left"/>
          <w:tab w:pos="6496" w:val="left"/>
        </w:tabs>
        <w:autoSpaceDE w:val="0"/>
        <w:widowControl/>
        <w:spacing w:line="259" w:lineRule="auto" w:before="294" w:after="230"/>
        <w:ind w:left="143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Kelaniya Buddhist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Women's Charitable Society (Incorporation) Act, No. 30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34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From and after the date of commencement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such and so many persons as now are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Kelaniya Buddhist Women's Charitable Society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as the “Society”) and shall hereafter be admitted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members of the body corporate hereby constituted shall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Incorporation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Kelaniya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Buddhist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Women's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Charitable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Society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have perpetual succession under the name and style of the</w:t>
      </w:r>
      <w:r>
        <w:rPr>
          <w:rFonts w:ascii="Times" w:hAnsi="Times" w:eastAsia="Times"/>
          <w:b w:val="0"/>
          <w:i w:val="0"/>
          <w:color w:val="221F1F"/>
          <w:sz w:val="20"/>
        </w:rPr>
        <w:t>“Kelaniya Buddhist Women’s Charitable Society”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“body corporate”), and by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may sue and be sued with full power and authority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have, and use a common seal and to alter the same at its </w:t>
      </w:r>
      <w:r>
        <w:rPr>
          <w:rFonts w:ascii="Times" w:hAnsi="Times" w:eastAsia="Times"/>
          <w:b w:val="0"/>
          <w:i w:val="0"/>
          <w:color w:val="221F1F"/>
          <w:sz w:val="20"/>
        </w:rPr>
        <w:t>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8" w:val="left"/>
          <w:tab w:pos="3756" w:val="left"/>
        </w:tabs>
        <w:autoSpaceDE w:val="0"/>
        <w:widowControl/>
        <w:spacing w:line="245" w:lineRule="auto" w:before="0" w:after="0"/>
        <w:ind w:left="278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30 of 2024</w:t>
      </w:r>
    </w:p>
    <w:p>
      <w:pPr>
        <w:autoSpaceDN w:val="0"/>
        <w:autoSpaceDE w:val="0"/>
        <w:widowControl/>
        <w:spacing w:line="271" w:lineRule="auto" w:before="270" w:after="238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7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57" w:lineRule="auto" w:before="68" w:after="0"/>
              <w:ind w:left="2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general objects for which the body corporate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-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facilities necessary for the enhancing of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meditation methods to the Buddhists in Sri Lnaka;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30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collect the books and magazines written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Buddhism and published worldwide and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arrangements to have easy access to them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Buddhists in Sri Lanka;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0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co-ordinate and improve good relations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servants, intellectuals, donators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benevolent people, welfare societies and welfare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foundations in Sri Lanka for the purpose of assisting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in their endeavour in creating for a better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tomorrow for people in Sri Lanka;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0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print, publish and distribute books, hand bills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magazines written on Buddhism and Buddhist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Philosophy which may be required by the Buddhist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Society for the promotion and development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of such Society with a view to facilitate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exchange of ideas and experience;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0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work in collaboration with other unions, societies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organizations having objects similar in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Society;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45" w:lineRule="auto" w:before="0" w:after="0"/>
        <w:ind w:left="187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30 of 2024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86" w:after="206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render assistance through the promotion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 of Buddhist principles to all persons seeking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inner tranquility.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7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body corporate shall be carried out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with written law and in such manner so as not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create any conflict between the work of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any work being carried out simultaneously by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Ministry or Department of the Government or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Council or any Local Authority.</w:t>
            </w:r>
          </w:p>
          <w:p>
            <w:pPr>
              <w:autoSpaceDN w:val="0"/>
              <w:autoSpaceDE w:val="0"/>
              <w:widowControl/>
              <w:spacing w:line="252" w:lineRule="auto" w:before="264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Act, and the rules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section 7, the management and administration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affairs of the body corporate shall be carried out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of Management (hereinafter referred to as the "Board")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15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any Provincial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  <w:p>
            <w:pPr>
              <w:autoSpaceDN w:val="0"/>
              <w:autoSpaceDE w:val="0"/>
              <w:widowControl/>
              <w:spacing w:line="238" w:lineRule="auto" w:before="4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such number of office bearers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rules made under section 7.</w:t>
      </w:r>
    </w:p>
    <w:p>
      <w:pPr>
        <w:autoSpaceDN w:val="0"/>
        <w:autoSpaceDE w:val="0"/>
        <w:widowControl/>
        <w:spacing w:line="254" w:lineRule="auto" w:before="26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Board of the Society holding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preceeding 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 shall, subject to the rules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function as an Interim Board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until the first Board  is appointed or elected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manner provided for by rules made under section 7.</w:t>
      </w:r>
    </w:p>
    <w:p>
      <w:pPr>
        <w:autoSpaceDN w:val="0"/>
        <w:autoSpaceDE w:val="0"/>
        <w:widowControl/>
        <w:spacing w:line="254" w:lineRule="auto" w:before="26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Subject to the provisions of section 7,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the body corporate shall have the power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for the interim administration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election or appointment of the members of the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the body corporate,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or any other written law.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6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decision of the Interim Board shall be taken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its members present at such meeting.</w:t>
      </w:r>
    </w:p>
    <w:p>
      <w:pPr>
        <w:autoSpaceDN w:val="0"/>
        <w:autoSpaceDE w:val="0"/>
        <w:widowControl/>
        <w:spacing w:line="250" w:lineRule="auto" w:before="26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Board of the body corporate shall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8" w:val="left"/>
          <w:tab w:pos="3756" w:val="left"/>
        </w:tabs>
        <w:autoSpaceDE w:val="0"/>
        <w:widowControl/>
        <w:spacing w:line="245" w:lineRule="auto" w:before="0" w:after="0"/>
        <w:ind w:left="278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30 of 2024</w:t>
      </w:r>
    </w:p>
    <w:p>
      <w:pPr>
        <w:autoSpaceDN w:val="0"/>
        <w:autoSpaceDE w:val="0"/>
        <w:widowControl/>
        <w:spacing w:line="252" w:lineRule="auto" w:before="25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lapse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said period of three years.</w:t>
      </w:r>
    </w:p>
    <w:p>
      <w:pPr>
        <w:autoSpaceDN w:val="0"/>
        <w:autoSpaceDE w:val="0"/>
        <w:widowControl/>
        <w:spacing w:line="250" w:lineRule="auto" w:before="26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shall, having regard to the rules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corporate, elect or appoint a person to fill such vacancy.</w:t>
      </w:r>
    </w:p>
    <w:p>
      <w:pPr>
        <w:autoSpaceDN w:val="0"/>
        <w:autoSpaceDE w:val="0"/>
        <w:widowControl/>
        <w:spacing w:line="250" w:lineRule="auto" w:before="260" w:after="19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for the unexpired portion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20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the following acts for the achievement </w:t>
      </w:r>
      <w:r>
        <w:rPr>
          <w:rFonts w:ascii="Times" w:hAnsi="Times" w:eastAsia="Times"/>
          <w:b w:val="0"/>
          <w:i w:val="0"/>
          <w:color w:val="221F1F"/>
          <w:sz w:val="20"/>
        </w:rPr>
        <w:t>of the objects of the body corporate :-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6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rent, construct, renovate and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be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body corporate and to deal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dispose of the same as may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with a view to promoting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6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and perform or carry out,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through any officer or agent authorized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body corporate, all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contracts or agreements as may be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attainment of the objects or the exercise of the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6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funds with or without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kind for the attainment of the objects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45" w:lineRule="auto" w:before="0" w:after="0"/>
        <w:ind w:left="187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30 of 2024</w:t>
      </w:r>
    </w:p>
    <w:p>
      <w:pPr>
        <w:autoSpaceDN w:val="0"/>
        <w:autoSpaceDE w:val="0"/>
        <w:widowControl/>
        <w:spacing w:line="257" w:lineRule="auto" w:before="260" w:after="0"/>
        <w:ind w:left="217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7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any bank in Sri Lanka approved by the Board;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7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corporate,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as the Board may determine;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76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objects of the body corporate or any real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property with a view to promoting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body corporate;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7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7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lectures, seminars and conferences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76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similar objects to that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 and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82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officers and servants in Sri Lanka or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8" w:val="left"/>
          <w:tab w:pos="3756" w:val="left"/>
        </w:tabs>
        <w:autoSpaceDE w:val="0"/>
        <w:widowControl/>
        <w:spacing w:line="245" w:lineRule="auto" w:before="0" w:after="196"/>
        <w:ind w:left="278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30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20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It shall be lawful for the body corporate, from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of the body corporate and by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voting, to make rules, not inconsistent with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  or any other written law, for the following matters:-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6" w:after="0"/>
        <w:ind w:left="30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 expulsion or resignation of members </w:t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6" w:after="0"/>
        <w:ind w:left="30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Board or vacation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6" w:after="0"/>
        <w:ind w:left="30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various officers, and servants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6" w:after="0"/>
        <w:ind w:left="30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body corporate or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Board, or notices and agenda of such meetings, </w:t>
      </w:r>
      <w:r>
        <w:rPr>
          <w:rFonts w:ascii="Times" w:hAnsi="Times" w:eastAsia="Times"/>
          <w:b w:val="0"/>
          <w:i w:val="0"/>
          <w:color w:val="221F1F"/>
          <w:sz w:val="20"/>
        </w:rPr>
        <w:t>the quorum and the conduct of business thereat;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4" w:after="0"/>
        <w:ind w:left="30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body corporate;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6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4" w:after="0"/>
        <w:ind w:left="30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governing the manner of liaising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co-ordinating with other local and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that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 and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66" w:after="0"/>
        <w:ind w:left="30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the management of the affairs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its' objects </w:t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45" w:lineRule="auto" w:before="0" w:after="0"/>
        <w:ind w:left="187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30 of 2024</w:t>
      </w:r>
    </w:p>
    <w:p>
      <w:pPr>
        <w:autoSpaceDN w:val="0"/>
        <w:autoSpaceDE w:val="0"/>
        <w:widowControl/>
        <w:spacing w:line="264" w:lineRule="auto" w:before="27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 of this section.</w:t>
      </w:r>
    </w:p>
    <w:p>
      <w:pPr>
        <w:autoSpaceDN w:val="0"/>
        <w:autoSpaceDE w:val="0"/>
        <w:widowControl/>
        <w:spacing w:line="269" w:lineRule="auto" w:before="30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and shall come into effect on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publication.</w:t>
      </w:r>
    </w:p>
    <w:p>
      <w:pPr>
        <w:autoSpaceDN w:val="0"/>
        <w:tabs>
          <w:tab w:pos="1678" w:val="left"/>
        </w:tabs>
        <w:autoSpaceDE w:val="0"/>
        <w:widowControl/>
        <w:spacing w:line="257" w:lineRule="auto" w:before="30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p>
      <w:pPr>
        <w:autoSpaceDN w:val="0"/>
        <w:tabs>
          <w:tab w:pos="1678" w:val="left"/>
          <w:tab w:pos="2028" w:val="left"/>
          <w:tab w:pos="6478" w:val="left"/>
        </w:tabs>
        <w:autoSpaceDE w:val="0"/>
        <w:widowControl/>
        <w:spacing w:line="257" w:lineRule="auto" w:before="306" w:after="0"/>
        <w:ind w:left="143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shall maintain a register of members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name, address and other essential details of the </w:t>
      </w:r>
      <w:r>
        <w:rPr>
          <w:rFonts w:ascii="Times" w:hAnsi="Times" w:eastAsia="Times"/>
          <w:b w:val="0"/>
          <w:i w:val="0"/>
          <w:color w:val="221F1F"/>
          <w:sz w:val="16"/>
        </w:rPr>
        <w:t>members</w:t>
      </w:r>
    </w:p>
    <w:p>
      <w:pPr>
        <w:autoSpaceDN w:val="0"/>
        <w:autoSpaceDE w:val="0"/>
        <w:widowControl/>
        <w:spacing w:line="238" w:lineRule="auto" w:before="3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p>
      <w:pPr>
        <w:autoSpaceDN w:val="0"/>
        <w:tabs>
          <w:tab w:pos="6496" w:val="left"/>
        </w:tabs>
        <w:autoSpaceDE w:val="0"/>
        <w:widowControl/>
        <w:spacing w:line="247" w:lineRule="auto" w:before="304" w:after="0"/>
        <w:ind w:left="1678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body corporate shall have its own Fund.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Fund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body corporate</w:t>
      </w:r>
    </w:p>
    <w:p>
      <w:pPr>
        <w:autoSpaceDN w:val="0"/>
        <w:autoSpaceDE w:val="0"/>
        <w:widowControl/>
        <w:spacing w:line="269" w:lineRule="auto" w:before="10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subscriptions, contributions, fees or grants for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account of the body corporate shall,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section 6(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be deposited in one or more banks </w:t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Board to the credit of the body corporate.</w:t>
      </w:r>
    </w:p>
    <w:p>
      <w:pPr>
        <w:autoSpaceDN w:val="0"/>
        <w:autoSpaceDE w:val="0"/>
        <w:widowControl/>
        <w:spacing w:line="266" w:lineRule="auto" w:before="306" w:after="24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1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7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body corporate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59" w:lineRule="auto" w:before="23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8" w:val="left"/>
          <w:tab w:pos="3756" w:val="left"/>
        </w:tabs>
        <w:autoSpaceDE w:val="0"/>
        <w:widowControl/>
        <w:spacing w:line="245" w:lineRule="auto" w:before="0" w:after="0"/>
        <w:ind w:left="278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30 of 2024</w:t>
      </w:r>
    </w:p>
    <w:p>
      <w:pPr>
        <w:autoSpaceDN w:val="0"/>
        <w:autoSpaceDE w:val="0"/>
        <w:widowControl/>
        <w:spacing w:line="276" w:lineRule="auto" w:before="2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Auditor-General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Auditor-General in terms of provisions of Article </w:t>
      </w:r>
      <w:r>
        <w:rPr>
          <w:rFonts w:ascii="Times" w:hAnsi="Times" w:eastAsia="Times"/>
          <w:b w:val="0"/>
          <w:i w:val="0"/>
          <w:color w:val="221F1F"/>
          <w:sz w:val="20"/>
        </w:rPr>
        <w:t>154 of the Consitution  and be certified by the Auditor-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 or such qualified auditor.</w:t>
      </w:r>
    </w:p>
    <w:p>
      <w:pPr>
        <w:autoSpaceDN w:val="0"/>
        <w:tabs>
          <w:tab w:pos="3022" w:val="left"/>
        </w:tabs>
        <w:autoSpaceDE w:val="0"/>
        <w:widowControl/>
        <w:spacing w:line="264" w:lineRule="auto" w:before="32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this section "qualified auditor" </w:t>
      </w:r>
      <w:r>
        <w:rPr>
          <w:rFonts w:ascii="Times" w:hAnsi="Times" w:eastAsia="Times"/>
          <w:b w:val="0"/>
          <w:i w:val="0"/>
          <w:color w:val="221F1F"/>
          <w:sz w:val="20"/>
        </w:rPr>
        <w:t>means-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320" w:after="0"/>
        <w:ind w:left="30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practise as an Accountant, issued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3502" w:val="left"/>
        </w:tabs>
        <w:autoSpaceDE w:val="0"/>
        <w:widowControl/>
        <w:spacing w:line="278" w:lineRule="auto" w:before="320" w:after="260"/>
        <w:ind w:left="30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Chartered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</w:tr>
    </w:tbl>
    <w:p>
      <w:pPr>
        <w:autoSpaceDN w:val="0"/>
        <w:autoSpaceDE w:val="0"/>
        <w:widowControl/>
        <w:spacing w:line="281" w:lineRule="auto" w:before="2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for each financial year and submit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together with the audited statement of accounts and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list of all assets and liabilities of the body corporate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Auditor-General  or a qualified auditor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10, to the Ministry of the Minister assigned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Buddha Sasana under Article 44 or 45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the Registrar of Voluntary Social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appointed under the Voluntary Social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(Registration and Supervision) Act, No. 31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1980 before the expiration of six months of the year </w:t>
      </w:r>
      <w:r>
        <w:rPr>
          <w:rFonts w:ascii="Times" w:hAnsi="Times" w:eastAsia="Times"/>
          <w:b w:val="0"/>
          <w:i w:val="0"/>
          <w:color w:val="221F1F"/>
          <w:sz w:val="20"/>
        </w:rPr>
        <w:t>succeeding the year to which such report relates.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45" w:lineRule="auto" w:before="0" w:after="0"/>
        <w:ind w:left="187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30 of 2024</w:t>
      </w:r>
    </w:p>
    <w:p>
      <w:pPr>
        <w:autoSpaceDN w:val="0"/>
        <w:autoSpaceDE w:val="0"/>
        <w:widowControl/>
        <w:spacing w:line="262" w:lineRule="auto" w:before="262" w:after="218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 separate statement of accounts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moneys received by the body corporate, the details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all contracts and agreements entered into by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rules of the body corporate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 during the financial year shall be attached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1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debts and liabilities of the Society existing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immediately preceding the date of commencement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shall be paid by the body corporate hereby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Society.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2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Society on that day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paid to the body corporate for the purposes of 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76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218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testamentary disposition or otherwise, and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body corporate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7, with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5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profit or otherwise howsoever to </w:t>
      </w:r>
      <w:r>
        <w:rPr>
          <w:rFonts w:ascii="Times" w:hAnsi="Times" w:eastAsia="Times"/>
          <w:b w:val="0"/>
          <w:i w:val="0"/>
          <w:color w:val="221F1F"/>
          <w:sz w:val="20"/>
        </w:rPr>
        <w:t>the members of the body corporate.</w:t>
      </w:r>
    </w:p>
    <w:p>
      <w:pPr>
        <w:autoSpaceDN w:val="0"/>
        <w:tabs>
          <w:tab w:pos="1696" w:val="left"/>
          <w:tab w:pos="6496" w:val="left"/>
        </w:tabs>
        <w:autoSpaceDE w:val="0"/>
        <w:widowControl/>
        <w:spacing w:line="252" w:lineRule="auto" w:before="278" w:after="0"/>
        <w:ind w:left="1456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15.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seal of the body corporate shall not be affixed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Seal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instrument whatsoever, except in the presence of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corporate</w:t>
      </w:r>
    </w:p>
    <w:p>
      <w:pPr>
        <w:autoSpaceDN w:val="0"/>
        <w:autoSpaceDE w:val="0"/>
        <w:widowControl/>
        <w:spacing w:line="262" w:lineRule="auto" w:before="34" w:after="0"/>
        <w:ind w:left="1456" w:right="276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 person as a witness.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8" w:val="left"/>
          <w:tab w:pos="3756" w:val="left"/>
        </w:tabs>
        <w:autoSpaceDE w:val="0"/>
        <w:widowControl/>
        <w:spacing w:line="245" w:lineRule="auto" w:before="0" w:after="0"/>
        <w:ind w:left="278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30 of 2024</w:t>
      </w:r>
    </w:p>
    <w:p>
      <w:pPr>
        <w:autoSpaceDN w:val="0"/>
        <w:autoSpaceDE w:val="0"/>
        <w:widowControl/>
        <w:spacing w:line="259" w:lineRule="auto" w:before="3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autoSpaceDE w:val="0"/>
        <w:widowControl/>
        <w:spacing w:line="235" w:lineRule="auto" w:before="52" w:after="14"/>
        <w:ind w:left="0" w:right="59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2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If upon the dissolution of the body corporate there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 after the satisfaction of all its debts and liabilities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body corporate,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given or transferred to any other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having objects similar to those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and which is by the rules thereof, prohibited from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its members.</w:t>
      </w:r>
    </w:p>
    <w:p>
      <w:pPr>
        <w:autoSpaceDN w:val="0"/>
        <w:autoSpaceDE w:val="0"/>
        <w:widowControl/>
        <w:spacing w:line="250" w:lineRule="auto" w:before="254" w:after="20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with the approval of the Registrar of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Organizations appointed under the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 (Registration and Supervision)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31 of 1980 immediately before the dissolution at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meeting by the majority of votes of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>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8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Act contained shall prejudice or affect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 or of any  body politic or corporate.</w:t>
            </w:r>
          </w:p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4" w:lineRule="auto" w:before="282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262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Kelaniya Buddhist Women's Charitable Society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30 of 2024</w:t>
      </w:r>
    </w:p>
    <w:p>
      <w:pPr>
        <w:autoSpaceDN w:val="0"/>
        <w:autoSpaceDE w:val="0"/>
        <w:widowControl/>
        <w:spacing w:line="245" w:lineRule="auto" w:before="867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