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170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INTERNATIONAL INSTITUTE OF THERAVADHA</w:t>
      </w:r>
    </w:p>
    <w:p>
      <w:pPr>
        <w:autoSpaceDN w:val="0"/>
        <w:autoSpaceDE w:val="0"/>
        <w:widowControl/>
        <w:spacing w:line="238" w:lineRule="auto" w:before="14" w:after="0"/>
        <w:ind w:left="0" w:right="200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(INCORPORATION)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ACT, No. 32 OF 2024</w:t>
      </w:r>
    </w:p>
    <w:p>
      <w:pPr>
        <w:autoSpaceDN w:val="0"/>
        <w:autoSpaceDE w:val="0"/>
        <w:widowControl/>
        <w:spacing w:line="235" w:lineRule="auto" w:before="950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 June,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20,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6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autoSpaceDE w:val="0"/>
        <w:widowControl/>
        <w:spacing w:line="235" w:lineRule="auto" w:before="256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18th of June, 2024]</w:t>
      </w:r>
    </w:p>
    <w:p>
      <w:pPr>
        <w:autoSpaceDN w:val="0"/>
        <w:autoSpaceDE w:val="0"/>
        <w:widowControl/>
        <w:spacing w:line="238" w:lineRule="auto" w:before="29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4/2023</w:t>
      </w:r>
    </w:p>
    <w:p>
      <w:pPr>
        <w:autoSpaceDN w:val="0"/>
        <w:autoSpaceDE w:val="0"/>
        <w:widowControl/>
        <w:spacing w:line="254" w:lineRule="auto" w:before="292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HERAVADHA</w:t>
      </w:r>
    </w:p>
    <w:p>
      <w:pPr>
        <w:autoSpaceDN w:val="0"/>
        <w:tabs>
          <w:tab w:pos="6478" w:val="left"/>
        </w:tabs>
        <w:autoSpaceDE w:val="0"/>
        <w:widowControl/>
        <w:spacing w:line="266" w:lineRule="auto" w:before="292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 xml:space="preserve">WHEREAS an institute called and known as the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“International Institute of Theravadha” has heretofore been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established in Sri Lanka for the purpose of effectually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carrying out its objects and transacting all matters connected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with the said institute according to the rules agreed to by its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>members:</w:t>
      </w:r>
    </w:p>
    <w:p>
      <w:pPr>
        <w:autoSpaceDN w:val="0"/>
        <w:autoSpaceDE w:val="0"/>
        <w:widowControl/>
        <w:spacing w:line="264" w:lineRule="auto" w:before="29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will be for the public advantage to grant the said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4" w:lineRule="auto" w:before="29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36403E"/>
          <w:sz w:val="20"/>
        </w:rPr>
        <w:t>Socialist Republic of Sri Lanka as follows:-</w:t>
      </w:r>
    </w:p>
    <w:p>
      <w:pPr>
        <w:autoSpaceDN w:val="0"/>
        <w:tabs>
          <w:tab w:pos="1678" w:val="left"/>
          <w:tab w:pos="6496" w:val="left"/>
        </w:tabs>
        <w:autoSpaceDE w:val="0"/>
        <w:widowControl/>
        <w:spacing w:line="254" w:lineRule="auto" w:before="294" w:after="234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33D3B"/>
          <w:sz w:val="20"/>
        </w:rPr>
        <w:t>1.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 This Act may be cited as the International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333D3B"/>
          <w:sz w:val="20"/>
        </w:rPr>
        <w:t>Theravadha (Incorporation) Act, No. 32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From and after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“International Institute of Theravadha” 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“Institute”) and shall hereafter be  admitted as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Theravadha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body corporate hereby constituted,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>perpetual succession under the name and style of 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“International Institute of Theravadha” (hereinafter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 “body corporate”),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with full power and  authority to have, and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>seal and to 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74" w:val="left"/>
          <w:tab w:pos="3702" w:val="left"/>
        </w:tabs>
        <w:autoSpaceDE w:val="0"/>
        <w:widowControl/>
        <w:spacing w:line="247" w:lineRule="auto" w:before="0" w:after="194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73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62" w:lineRule="auto" w:before="74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C3734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 xml:space="preserve"> 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constituted are hereby declared to be -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C3734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to train Buddhist monks and lay devotees to be</w:t>
            </w:r>
          </w:p>
        </w:tc>
      </w:tr>
    </w:tbl>
    <w:p>
      <w:pPr>
        <w:autoSpaceDN w:val="0"/>
        <w:autoSpaceDE w:val="0"/>
        <w:widowControl/>
        <w:spacing w:line="276" w:lineRule="auto" w:before="26" w:after="0"/>
        <w:ind w:left="3522" w:right="1414" w:firstLine="0"/>
        <w:jc w:val="both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enriched with doctrinal knowledge and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knowledge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in meditation that is required to attain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on their own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the ultimate liberation of Nibbana,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according to the Buddhist teachings;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0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b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train Buddhist monks and lay devotees capable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of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guiding other Buddhist monks and lay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devotees to attain the ultimate liberation of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Nibbana, according to the Buddhist teachings;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1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c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train Buddhist monks to perform formal 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of</w:t>
      </w:r>
      <w:r>
        <w:rPr>
          <w:rFonts w:ascii="Times" w:hAnsi="Times" w:eastAsia="Times"/>
          <w:b w:val="0"/>
          <w:i w:val="0"/>
          <w:color w:val="2C3734"/>
          <w:sz w:val="20"/>
        </w:rPr>
        <w:t>discipline (vinayakammas), according to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Theravadha Buddhist teachings, in order to sustain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the Sasana;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31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publish and translate books and any other reading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materials related to the Theravadha teaching; and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1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train and use the missionaries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propagate the dhamma expounded by the Buddha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locally and internationally giving due respect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the</w:t>
      </w:r>
      <w:r>
        <w:rPr>
          <w:rFonts w:ascii="Times" w:hAnsi="Times" w:eastAsia="Times"/>
          <w:b w:val="0"/>
          <w:i w:val="0"/>
          <w:color w:val="2C3734"/>
          <w:sz w:val="20"/>
        </w:rPr>
        <w:t>prevailing laws and cultural values; and</w:t>
      </w:r>
    </w:p>
    <w:p>
      <w:pPr>
        <w:autoSpaceDN w:val="0"/>
        <w:autoSpaceDE w:val="0"/>
        <w:widowControl/>
        <w:spacing w:line="259" w:lineRule="auto" w:before="266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subject to any applicable written law, to the extent permitted </w:t>
      </w:r>
      <w:r>
        <w:rPr>
          <w:rFonts w:ascii="Times" w:hAnsi="Times" w:eastAsia="Times"/>
          <w:b w:val="0"/>
          <w:i w:val="0"/>
          <w:color w:val="2C3734"/>
          <w:sz w:val="20"/>
        </w:rPr>
        <w:t>by such law.</w:t>
      </w:r>
    </w:p>
    <w:p>
      <w:pPr>
        <w:autoSpaceDN w:val="0"/>
        <w:autoSpaceDE w:val="0"/>
        <w:widowControl/>
        <w:spacing w:line="274" w:lineRule="auto" w:before="24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based on race, religion, language, caste, gender, political </w:t>
      </w:r>
      <w:r>
        <w:rPr>
          <w:rFonts w:ascii="Times" w:hAnsi="Times" w:eastAsia="Times"/>
          <w:b w:val="0"/>
          <w:i w:val="0"/>
          <w:color w:val="2C3734"/>
          <w:sz w:val="20"/>
        </w:rPr>
        <w:t>opinion, place of birth or such other grounds.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8" w:val="left"/>
          <w:tab w:pos="6134" w:val="left"/>
        </w:tabs>
        <w:autoSpaceDE w:val="0"/>
        <w:widowControl/>
        <w:spacing w:line="247" w:lineRule="auto" w:before="0" w:after="200"/>
        <w:ind w:left="230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International Institute of Theravadha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5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33D3B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 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in such manner so as not to create any conflict between the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work of the body Corporate  and any work being carried out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simultaneously by any Ministry or Department of the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>Government or of any Provincial Council.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Government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4"/>
        <w:ind w:left="64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33D3B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 (1) Subject to the provisions of this Act and the rules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made under section 10, the management and administration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>of the affairs of the body corporate shall be carried out by an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33D3B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Executive Board consisting of such number of office bearers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as may be specified by the rules made under section 10 of </w:t>
      </w:r>
      <w:r>
        <w:rPr>
          <w:rFonts w:ascii="Times" w:hAnsi="Times" w:eastAsia="Times"/>
          <w:b w:val="0"/>
          <w:i w:val="0"/>
          <w:color w:val="333D3B"/>
          <w:sz w:val="20"/>
        </w:rPr>
        <w:t>this Act.</w:t>
      </w:r>
    </w:p>
    <w:p>
      <w:pPr>
        <w:autoSpaceDN w:val="0"/>
        <w:autoSpaceDE w:val="0"/>
        <w:widowControl/>
        <w:spacing w:line="271" w:lineRule="auto" w:before="30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a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The members of the Executive Board holding office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of this Act, shall subject to the rules made under paragraph </w:t>
      </w:r>
      <w:r>
        <w:rPr>
          <w:rFonts w:ascii="Times" w:hAnsi="Times" w:eastAsia="Times"/>
          <w:b w:val="0"/>
          <w:i w:val="0"/>
          <w:color w:val="333D3B"/>
          <w:sz w:val="20"/>
        </w:rPr>
        <w:t>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b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of this subsection, function as an Interim Board of the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body corporate until the first Executive Board is appointed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or elected in the manner Provided for by rules made under </w:t>
      </w:r>
      <w:r>
        <w:rPr>
          <w:rFonts w:ascii="Times" w:hAnsi="Times" w:eastAsia="Times"/>
          <w:b w:val="0"/>
          <w:i w:val="0"/>
          <w:color w:val="333D3B"/>
          <w:sz w:val="20"/>
        </w:rPr>
        <w:t>section 10 of this Act.</w:t>
      </w:r>
    </w:p>
    <w:p>
      <w:pPr>
        <w:autoSpaceDN w:val="0"/>
        <w:autoSpaceDE w:val="0"/>
        <w:widowControl/>
        <w:spacing w:line="271" w:lineRule="auto" w:before="32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>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b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Subject to the provisions of section 10, the Interim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Board shall have the power to make rules for the interim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administration of the body corporate and for election or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appointment of the members of the first Executive Board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of the body corporate not inconsistent with the provisions </w:t>
      </w:r>
      <w:r>
        <w:rPr>
          <w:rFonts w:ascii="Times" w:hAnsi="Times" w:eastAsia="Times"/>
          <w:b w:val="0"/>
          <w:i w:val="0"/>
          <w:color w:val="333D3B"/>
          <w:sz w:val="20"/>
        </w:rPr>
        <w:t>of this Act or any other written law.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31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c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Any decision of the Interim Board shall be taken by </w:t>
      </w:r>
      <w:r>
        <w:rPr>
          <w:rFonts w:ascii="Times" w:hAnsi="Times" w:eastAsia="Times"/>
          <w:b w:val="0"/>
          <w:i w:val="0"/>
          <w:color w:val="333D3B"/>
          <w:sz w:val="20"/>
        </w:rPr>
        <w:t>the majority of its members present at such meeting.</w:t>
      </w:r>
    </w:p>
    <w:p>
      <w:pPr>
        <w:autoSpaceDN w:val="0"/>
        <w:autoSpaceDE w:val="0"/>
        <w:widowControl/>
        <w:spacing w:line="259" w:lineRule="auto" w:before="306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d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The first Executive Board of the body corporate shall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be appointed or elected within one year of the date of </w:t>
      </w:r>
      <w:r>
        <w:rPr>
          <w:rFonts w:ascii="Times" w:hAnsi="Times" w:eastAsia="Times"/>
          <w:b w:val="0"/>
          <w:i w:val="0"/>
          <w:color w:val="333D3B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74" w:val="left"/>
          <w:tab w:pos="3702" w:val="left"/>
        </w:tabs>
        <w:autoSpaceDE w:val="0"/>
        <w:widowControl/>
        <w:spacing w:line="247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autoSpaceDE w:val="0"/>
        <w:widowControl/>
        <w:spacing w:line="264" w:lineRule="auto" w:before="256" w:after="0"/>
        <w:ind w:left="2824" w:right="1414" w:firstLine="24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a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Every office bearer of the Executive Board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including the patrons and advisors, shall be appointed or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elected for a period of six years and any such office bearer,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patron or advisor shall be eligible for re-appointment or </w:t>
      </w:r>
      <w:r>
        <w:rPr>
          <w:rFonts w:ascii="Times" w:hAnsi="Times" w:eastAsia="Times"/>
          <w:b w:val="0"/>
          <w:i w:val="0"/>
          <w:color w:val="333D3B"/>
          <w:sz w:val="20"/>
        </w:rPr>
        <w:t>re-election:</w:t>
      </w:r>
    </w:p>
    <w:p>
      <w:pPr>
        <w:autoSpaceDN w:val="0"/>
        <w:autoSpaceDE w:val="0"/>
        <w:widowControl/>
        <w:spacing w:line="262" w:lineRule="auto" w:before="292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Provided however, any person appointed or elected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as the Chair of the Executive Board shall only be eligible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for re-appointment or re-election for one further term, </w:t>
      </w:r>
      <w:r>
        <w:rPr>
          <w:rFonts w:ascii="Times" w:hAnsi="Times" w:eastAsia="Times"/>
          <w:b w:val="0"/>
          <w:i w:val="0"/>
          <w:color w:val="333D3B"/>
          <w:sz w:val="20"/>
        </w:rPr>
        <w:t>whether consecutive or otherwise.</w:t>
      </w:r>
    </w:p>
    <w:p>
      <w:pPr>
        <w:autoSpaceDN w:val="0"/>
        <w:autoSpaceDE w:val="0"/>
        <w:widowControl/>
        <w:spacing w:line="264" w:lineRule="auto" w:before="2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>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b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bearer, the Executive Board shall having regard to the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rules of the body corporate, appoint or elect a person to </w:t>
      </w:r>
      <w:r>
        <w:rPr>
          <w:rFonts w:ascii="Times" w:hAnsi="Times" w:eastAsia="Times"/>
          <w:b w:val="0"/>
          <w:i w:val="0"/>
          <w:color w:val="333D3B"/>
          <w:sz w:val="20"/>
        </w:rPr>
        <w:t>fill such vacancy.</w:t>
      </w:r>
    </w:p>
    <w:p>
      <w:pPr>
        <w:autoSpaceDN w:val="0"/>
        <w:autoSpaceDE w:val="0"/>
        <w:widowControl/>
        <w:spacing w:line="259" w:lineRule="auto" w:before="254" w:after="45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33D3B"/>
          <w:sz w:val="20"/>
        </w:rPr>
        <w:t>(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>c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) The person appointed or elected under paragraph (b) </w:t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333D3B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84240"/>
                <w:sz w:val="16"/>
              </w:rPr>
              <w:t xml:space="preserve">Senate Council </w:t>
            </w:r>
            <w:r>
              <w:rPr>
                <w:rFonts w:ascii="Times" w:hAnsi="Times" w:eastAsia="Times"/>
                <w:b w:val="0"/>
                <w:i w:val="0"/>
                <w:color w:val="384240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84240"/>
                <w:sz w:val="16"/>
              </w:rPr>
              <w:t>Corporate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8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8424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384240"/>
                <w:sz w:val="20"/>
              </w:rPr>
              <w:t xml:space="preserve"> There shall be a body established and known as the </w:t>
            </w:r>
            <w:r>
              <w:rPr>
                <w:rFonts w:ascii="Times" w:hAnsi="Times" w:eastAsia="Times"/>
                <w:b w:val="0"/>
                <w:i w:val="0"/>
                <w:color w:val="384240"/>
                <w:sz w:val="20"/>
              </w:rPr>
              <w:t xml:space="preserve">Senate Council constituted with Tutor monks and Student </w:t>
            </w:r>
            <w:r>
              <w:rPr>
                <w:rFonts w:ascii="Times" w:hAnsi="Times" w:eastAsia="Times"/>
                <w:b w:val="0"/>
                <w:i w:val="0"/>
                <w:color w:val="384240"/>
                <w:sz w:val="20"/>
              </w:rPr>
              <w:t>monks of the body corporate to discuss issues related to</w:t>
            </w:r>
          </w:p>
        </w:tc>
      </w:tr>
    </w:tbl>
    <w:p>
      <w:pPr>
        <w:autoSpaceDN w:val="0"/>
        <w:autoSpaceDE w:val="0"/>
        <w:widowControl/>
        <w:spacing w:line="269" w:lineRule="auto" w:before="16" w:after="24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384240"/>
          <w:sz w:val="20"/>
        </w:rPr>
        <w:t xml:space="preserve">Dhamma and Vinaya and decisions taken by the Executive </w:t>
      </w:r>
      <w:r>
        <w:rPr>
          <w:rFonts w:ascii="Times" w:hAnsi="Times" w:eastAsia="Times"/>
          <w:b w:val="0"/>
          <w:i w:val="0"/>
          <w:color w:val="384240"/>
          <w:sz w:val="20"/>
        </w:rPr>
        <w:t xml:space="preserve">Board and to forward comments, suggestions, proposals </w:t>
      </w:r>
      <w:r>
        <w:rPr>
          <w:rFonts w:ascii="Times" w:hAnsi="Times" w:eastAsia="Times"/>
          <w:b w:val="0"/>
          <w:i w:val="0"/>
          <w:color w:val="384240"/>
          <w:sz w:val="20"/>
        </w:rPr>
        <w:t xml:space="preserve">and recommendations regarding such issues to the body </w:t>
      </w:r>
      <w:r>
        <w:rPr>
          <w:rFonts w:ascii="Times" w:hAnsi="Times" w:eastAsia="Times"/>
          <w:b w:val="0"/>
          <w:i w:val="0"/>
          <w:color w:val="384240"/>
          <w:sz w:val="20"/>
        </w:rPr>
        <w:t>corporate and the executive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assembly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8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C3734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 xml:space="preserve"> (1) The General Assembly of the body corporate is 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 xml:space="preserve">known as the Supreme board and it shall consist of all the 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members of the body corporate.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54" w:lineRule="auto" w:before="23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(2) Subject to the provisions of section 10, the duty of the </w:t>
      </w:r>
      <w:r>
        <w:rPr>
          <w:rFonts w:ascii="Times" w:hAnsi="Times" w:eastAsia="Times"/>
          <w:b w:val="0"/>
          <w:i w:val="0"/>
          <w:color w:val="2C3734"/>
          <w:sz w:val="20"/>
        </w:rPr>
        <w:t>General Assembly shall be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8" w:val="left"/>
          <w:tab w:pos="6134" w:val="left"/>
        </w:tabs>
        <w:autoSpaceDE w:val="0"/>
        <w:widowControl/>
        <w:spacing w:line="247" w:lineRule="auto" w:before="0" w:after="0"/>
        <w:ind w:left="230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International Institute of Theravadha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6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a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elect the executive board of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in accordance with the ruIes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corporate;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31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b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take decisions with regard to relocating the head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office of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31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take decisions in order to dissolve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corporate;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to make and amend rules of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31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make procedures of the general assembly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rules of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31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f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establish an executive board in order to carry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the executive affairs of the body corporate;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31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g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elect the members of the executive board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the General Assembly by an election; and</w:t>
      </w:r>
    </w:p>
    <w:p>
      <w:pPr>
        <w:autoSpaceDN w:val="0"/>
        <w:tabs>
          <w:tab w:pos="2176" w:val="left"/>
        </w:tabs>
        <w:autoSpaceDE w:val="0"/>
        <w:widowControl/>
        <w:spacing w:line="274" w:lineRule="auto" w:before="314" w:after="254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h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make by rules, the composition of the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board, the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sub-committees coming under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board, their functions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and qualifications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appointments of the members of such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committees.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A4442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20"/>
              </w:rPr>
              <w:t xml:space="preserve"> (1) There shall be a committee known as the 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20"/>
              </w:rPr>
              <w:t xml:space="preserve">Disciplinary Committee to look into all the disciplinary 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20"/>
              </w:rPr>
              <w:t xml:space="preserve">matters pertaining to all the members and trained and 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20"/>
              </w:rPr>
              <w:t>trainees of the body corporate.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A4442"/>
                <w:sz w:val="16"/>
              </w:rPr>
              <w:t xml:space="preserve">Disciplinary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A4442"/>
                <w:sz w:val="16"/>
              </w:rPr>
              <w:t xml:space="preserve">Committee of 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A4442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A4442"/>
          <w:sz w:val="20"/>
        </w:rPr>
        <w:t xml:space="preserve">(2) The composition, powers, functions and duties of the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disciplinary committee shall be specified by rules made under </w:t>
      </w:r>
      <w:r>
        <w:rPr>
          <w:rFonts w:ascii="Times" w:hAnsi="Times" w:eastAsia="Times"/>
          <w:b w:val="0"/>
          <w:i w:val="0"/>
          <w:color w:val="3A4442"/>
          <w:sz w:val="20"/>
        </w:rPr>
        <w:t>section 10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74" w:val="left"/>
          <w:tab w:pos="3702" w:val="left"/>
        </w:tabs>
        <w:autoSpaceDE w:val="0"/>
        <w:widowControl/>
        <w:spacing w:line="247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tabs>
          <w:tab w:pos="2782" w:val="left"/>
          <w:tab w:pos="2784" w:val="left"/>
          <w:tab w:pos="3152" w:val="left"/>
        </w:tabs>
        <w:autoSpaceDE w:val="0"/>
        <w:widowControl/>
        <w:spacing w:line="278" w:lineRule="auto" w:before="268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Powers of the </w:t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B3533"/>
          <w:sz w:val="20"/>
        </w:rPr>
        <w:t>9.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 Subject to the provisions of this Act and any other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body corporate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written law, the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body corporate shall have the power to do,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perform and execute all such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acts and things as are necessary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or desirable for the achievement of the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objects of the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corporate or any one of them, including the power -</w:t>
      </w:r>
    </w:p>
    <w:p>
      <w:pPr>
        <w:autoSpaceDN w:val="0"/>
        <w:tabs>
          <w:tab w:pos="3504" w:val="left"/>
        </w:tabs>
        <w:autoSpaceDE w:val="0"/>
        <w:widowControl/>
        <w:spacing w:line="278" w:lineRule="auto" w:before="44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a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to purchase rent, construct and renovate lands or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buildings which may be required for the purposes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of the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body corporate and to deal with or dispose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of the same as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determined by the executive Board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with 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corporate;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78" w:lineRule="auto" w:before="44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b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to enter into and perform or carry out,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directly or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in that behalf by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the body corporate, all such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contracts or agreements as may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be necessary for the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attainment of the objects or the exercise of the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powers of the body corporate;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32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c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kind:</w:t>
      </w:r>
    </w:p>
    <w:p>
      <w:pPr>
        <w:autoSpaceDN w:val="0"/>
        <w:autoSpaceDE w:val="0"/>
        <w:widowControl/>
        <w:spacing w:line="247" w:lineRule="auto" w:before="26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 xml:space="preserve">Provided that, the Executive Board shall obtain the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Resources, in respect of all foreign grants, gifts or </w:t>
      </w:r>
      <w:r>
        <w:rPr>
          <w:rFonts w:ascii="Times" w:hAnsi="Times" w:eastAsia="Times"/>
          <w:b w:val="0"/>
          <w:i w:val="0"/>
          <w:color w:val="2B3533"/>
          <w:sz w:val="20"/>
        </w:rPr>
        <w:t>donations made to the body corporate;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d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to make, draw, accept, discount, endorse,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negotiate, buy,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sell and issue bills of exchange,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cheques, promissory notes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and other negotiable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instruments and to open, operate, maintain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close accounts in any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8" w:val="left"/>
          <w:tab w:pos="6134" w:val="left"/>
        </w:tabs>
        <w:autoSpaceDE w:val="0"/>
        <w:widowControl/>
        <w:spacing w:line="247" w:lineRule="auto" w:before="0" w:after="0"/>
        <w:ind w:left="230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International Institute of Theravadha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to invest any funds that are not immediately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for the purposes of the body corporate,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manner as the Executive Board may determine;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(</w:t>
      </w:r>
      <w:r>
        <w:rPr>
          <w:rFonts w:ascii="Times,Italic" w:hAnsi="Times,Italic" w:eastAsia="Times,Italic"/>
          <w:b w:val="0"/>
          <w:i/>
          <w:color w:val="2B3533"/>
          <w:sz w:val="20"/>
        </w:rPr>
        <w:t>f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undertake, accept, excecute,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the body corporate;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g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appoint, employ, dismiss or terminate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services of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officers and other employees of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body corporate and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exercise disciplinary control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over them and to pay them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such salaries,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allowances and gratuities as may be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determined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by the body corporate in terms of the rules made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under section 10;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h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assist the relevant authorities to organize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lectures, seminars and conferences with a view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promoting the objects of the body corporate;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5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i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liaise and co-ordinate with other local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foreign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of the body corporate; and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54" w:after="22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j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train officers and other employees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or abroad for the purposes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A4442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20"/>
              </w:rPr>
              <w:t xml:space="preserve"> 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3A4442"/>
                <w:sz w:val="20"/>
              </w:rPr>
              <w:t>to time, at any general meeting of the body corporate and by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3A4442"/>
          <w:sz w:val="20"/>
        </w:rPr>
        <w:t xml:space="preserve">a majority of not less than two-thirds of the members present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and voting, to make rules, not inconsistent with the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3A4442"/>
          <w:sz w:val="20"/>
        </w:rPr>
        <w:t>of the following matters: -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a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the classification of membership, admission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withdrawal,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expulsion or resignation of members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and fees payable by the members;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74" w:val="left"/>
          <w:tab w:pos="3702" w:val="left"/>
        </w:tabs>
        <w:autoSpaceDE w:val="0"/>
        <w:widowControl/>
        <w:spacing w:line="247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4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b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number of office bearers of the body corporate,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>executive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board, senate council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committee and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qualifications and disqualifications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>to be a member of the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body corporate, the executive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board, senate council or disciplinary committee as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>the case may be;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c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the election of the office bearers, vacation of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removal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from office of the office bearers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corporate,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executive board, senate council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functions of such office bearers;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2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d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>functions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and duties of various officers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employees of the body corporate;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6" w:lineRule="auto" w:before="29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e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the procedure to be followed for the summoning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and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holding of meetings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of the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Executive Board, senate council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disciplinary committee or notices and agenda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such meetings, the quorum and the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business thereat;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0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f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>of the body corporate; and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31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A4442"/>
          <w:sz w:val="20"/>
        </w:rPr>
        <w:t>(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g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generally,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corporate  and  the accomplishment of its, objects </w:t>
      </w:r>
      <w:r>
        <w:br/>
      </w:r>
      <w:r>
        <w:rPr>
          <w:rFonts w:ascii="Times" w:hAnsi="Times" w:eastAsia="Times"/>
          <w:b w:val="0"/>
          <w:i w:val="0"/>
          <w:color w:val="3A4442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59" w:lineRule="auto" w:before="21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A4442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3A4442"/>
          <w:sz w:val="20"/>
        </w:rPr>
        <w:t>altered, added to or rescinded at a like meeting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and in like </w:t>
      </w:r>
      <w:r>
        <w:rPr>
          <w:rFonts w:ascii="Times" w:hAnsi="Times" w:eastAsia="Times"/>
          <w:b w:val="0"/>
          <w:i w:val="0"/>
          <w:color w:val="3A4442"/>
          <w:sz w:val="20"/>
        </w:rPr>
        <w:t>manner, as a rule made under subsection (1) of this section.</w:t>
      </w:r>
    </w:p>
    <w:p>
      <w:pPr>
        <w:autoSpaceDN w:val="0"/>
        <w:autoSpaceDE w:val="0"/>
        <w:widowControl/>
        <w:spacing w:line="259" w:lineRule="auto" w:before="294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3A4442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3A4442"/>
          <w:sz w:val="20"/>
        </w:rPr>
        <w:t>in the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3A4442"/>
          <w:sz w:val="20"/>
        </w:rPr>
        <w:t>rules and shall come into effect on the date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8" w:val="left"/>
          <w:tab w:pos="6134" w:val="left"/>
        </w:tabs>
        <w:autoSpaceDE w:val="0"/>
        <w:widowControl/>
        <w:spacing w:line="247" w:lineRule="auto" w:before="0" w:after="0"/>
        <w:ind w:left="230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International Institute of Theravadha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autoSpaceDE w:val="0"/>
        <w:widowControl/>
        <w:spacing w:line="250" w:lineRule="auto" w:before="24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A4442"/>
          <w:sz w:val="20"/>
        </w:rPr>
        <w:t xml:space="preserve">(4) Every rule made by the body  corporate  shall, within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Gazette,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 by brought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brought  before Parliament for approval. Any rule which is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date of such disapproval, but without prejudice to anything </w:t>
      </w:r>
      <w:r>
        <w:rPr>
          <w:rFonts w:ascii="Times" w:hAnsi="Times" w:eastAsia="Times"/>
          <w:b w:val="0"/>
          <w:i w:val="0"/>
          <w:color w:val="3A4442"/>
          <w:sz w:val="20"/>
        </w:rPr>
        <w:t>previously done thereunder.</w:t>
      </w:r>
    </w:p>
    <w:p>
      <w:pPr>
        <w:autoSpaceDN w:val="0"/>
        <w:autoSpaceDE w:val="0"/>
        <w:widowControl/>
        <w:spacing w:line="247" w:lineRule="auto" w:before="25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A4442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3A4442"/>
          <w:sz w:val="20"/>
        </w:rPr>
        <w:t>Gazette.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134" w:after="21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A4442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3A4442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6403E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36403E"/>
                <w:sz w:val="20"/>
              </w:rPr>
              <w:t xml:space="preserve"> The Executive Board shall maintain a register of </w:t>
            </w:r>
            <w:r>
              <w:rPr>
                <w:rFonts w:ascii="Times" w:hAnsi="Times" w:eastAsia="Times"/>
                <w:b w:val="0"/>
                <w:i w:val="0"/>
                <w:color w:val="36403E"/>
                <w:sz w:val="20"/>
              </w:rPr>
              <w:t>members in which name, address and other essential details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>of the 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F3C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9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0" w:lineRule="auto" w:before="38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404D4A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404D4A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404D4A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404D4A"/>
          <w:sz w:val="20"/>
        </w:rPr>
        <w:t xml:space="preserve">one or more banks approved by the Executive Board to the </w:t>
      </w:r>
      <w:r>
        <w:rPr>
          <w:rFonts w:ascii="Times" w:hAnsi="Times" w:eastAsia="Times"/>
          <w:b w:val="0"/>
          <w:i w:val="0"/>
          <w:color w:val="404D4A"/>
          <w:sz w:val="20"/>
        </w:rPr>
        <w:t xml:space="preserve">credit of the body corporate subject to the provisions of </w:t>
      </w:r>
      <w:r>
        <w:rPr>
          <w:rFonts w:ascii="Times" w:hAnsi="Times" w:eastAsia="Times"/>
          <w:b w:val="0"/>
          <w:i w:val="0"/>
          <w:color w:val="404D4A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404D4A"/>
          <w:sz w:val="20"/>
        </w:rPr>
        <w:t>c</w:t>
      </w:r>
      <w:r>
        <w:rPr>
          <w:rFonts w:ascii="Times" w:hAnsi="Times" w:eastAsia="Times"/>
          <w:b w:val="0"/>
          <w:i w:val="0"/>
          <w:color w:val="404D4A"/>
          <w:sz w:val="20"/>
        </w:rPr>
        <w:t>) of section 9.</w:t>
      </w:r>
    </w:p>
    <w:p>
      <w:pPr>
        <w:autoSpaceDN w:val="0"/>
        <w:autoSpaceDE w:val="0"/>
        <w:widowControl/>
        <w:spacing w:line="250" w:lineRule="auto" w:before="268" w:after="194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404D4A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404D4A"/>
          <w:sz w:val="20"/>
        </w:rPr>
        <w:t xml:space="preserve">as are required to defray any expenditure incurred  by the </w:t>
      </w:r>
      <w:r>
        <w:rPr>
          <w:rFonts w:ascii="Times" w:hAnsi="Times" w:eastAsia="Times"/>
          <w:b w:val="0"/>
          <w:i w:val="0"/>
          <w:color w:val="404D4A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404D4A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424C48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424C48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424C48"/>
                <w:sz w:val="20"/>
              </w:rPr>
              <w:t>the calendar year.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52" w:lineRule="auto" w:before="23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424C48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kept of its income and expenditure, assets and liabilities and all </w:t>
      </w:r>
      <w:r>
        <w:rPr>
          <w:rFonts w:ascii="Times" w:hAnsi="Times" w:eastAsia="Times"/>
          <w:b w:val="0"/>
          <w:i w:val="0"/>
          <w:color w:val="424C48"/>
          <w:sz w:val="20"/>
        </w:rPr>
        <w:t>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74" w:val="left"/>
          <w:tab w:pos="3702" w:val="left"/>
        </w:tabs>
        <w:autoSpaceDE w:val="0"/>
        <w:widowControl/>
        <w:spacing w:line="247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autoSpaceDE w:val="0"/>
        <w:widowControl/>
        <w:spacing w:line="276" w:lineRule="auto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424C48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annually by a qualified auditor and be certified by such </w:t>
      </w:r>
      <w:r>
        <w:rPr>
          <w:rFonts w:ascii="Times" w:hAnsi="Times" w:eastAsia="Times"/>
          <w:b w:val="0"/>
          <w:i w:val="0"/>
          <w:color w:val="424C48"/>
          <w:sz w:val="20"/>
        </w:rPr>
        <w:t>qualified auditor.</w:t>
      </w:r>
    </w:p>
    <w:p>
      <w:pPr>
        <w:autoSpaceDN w:val="0"/>
        <w:tabs>
          <w:tab w:pos="3022" w:val="left"/>
        </w:tabs>
        <w:autoSpaceDE w:val="0"/>
        <w:widowControl/>
        <w:spacing w:line="266" w:lineRule="auto" w:before="33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424C48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424C48"/>
          <w:sz w:val="20"/>
        </w:rPr>
        <w:t>means-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83" w:lineRule="auto" w:before="3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424C48"/>
          <w:sz w:val="20"/>
        </w:rPr>
        <w:t>(</w:t>
      </w:r>
      <w:r>
        <w:rPr>
          <w:rFonts w:ascii="Times,Italic" w:hAnsi="Times,Italic" w:eastAsia="Times,Italic"/>
          <w:b w:val="0"/>
          <w:i/>
          <w:color w:val="424C48"/>
          <w:sz w:val="20"/>
        </w:rPr>
        <w:t>a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424C48"/>
          <w:sz w:val="20"/>
        </w:rPr>
        <w:t>of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424C48"/>
          <w:sz w:val="20"/>
        </w:rPr>
        <w:t>other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424C48"/>
          <w:sz w:val="20"/>
        </w:rPr>
        <w:t>certificate to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practice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424C48"/>
          <w:sz w:val="20"/>
        </w:rPr>
        <w:t>the Council of such Institute; or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86" w:lineRule="auto" w:before="3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424C48"/>
          <w:sz w:val="20"/>
        </w:rPr>
        <w:t>(</w:t>
      </w:r>
      <w:r>
        <w:rPr>
          <w:rFonts w:ascii="Times,Italic" w:hAnsi="Times,Italic" w:eastAsia="Times,Italic"/>
          <w:b w:val="0"/>
          <w:i/>
          <w:color w:val="424C48"/>
          <w:sz w:val="20"/>
        </w:rPr>
        <w:t>b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424C48"/>
          <w:sz w:val="20"/>
        </w:rPr>
        <w:t>of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which, being a member of the Institute of </w:t>
      </w:r>
      <w:r>
        <w:br/>
      </w:r>
      <w:r>
        <w:rPr>
          <w:rFonts w:ascii="Times" w:hAnsi="Times" w:eastAsia="Times"/>
          <w:b w:val="0"/>
          <w:i w:val="0"/>
          <w:color w:val="424C48"/>
          <w:sz w:val="20"/>
        </w:rPr>
        <w:t>Chartered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424C48"/>
          <w:sz w:val="20"/>
        </w:rPr>
        <w:t>Institute</w:t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established by law, possesses a </w:t>
      </w:r>
      <w:r>
        <w:br/>
      </w:r>
      <w:r>
        <w:rPr>
          <w:rFonts w:ascii="Times" w:hAnsi="Times" w:eastAsia="Times"/>
          <w:b w:val="0"/>
          <w:i w:val="0"/>
          <w:color w:val="424C48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424C48"/>
          <w:sz w:val="20"/>
        </w:rPr>
        <w:t>by the Council of such Institute.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8" w:lineRule="auto" w:before="338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Executive Board shall prepare a report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of the body corporate for each financial year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report together with the audited statement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certified by a qualified auditor, to the Secretary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Buddhasasana, Religious and Cultural Affairs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six months of the year succeeding the year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report relates.</w:t>
      </w:r>
    </w:p>
    <w:p>
      <w:pPr>
        <w:autoSpaceDN w:val="0"/>
        <w:autoSpaceDE w:val="0"/>
        <w:widowControl/>
        <w:spacing w:line="281" w:lineRule="auto" w:before="3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6" w:val="left"/>
          <w:tab w:pos="6032" w:val="left"/>
        </w:tabs>
        <w:autoSpaceDE w:val="0"/>
        <w:widowControl/>
        <w:spacing w:line="247" w:lineRule="auto" w:before="0" w:after="186"/>
        <w:ind w:left="2306" w:right="288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International Institute of Theravadha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629"/>
        <w:gridCol w:w="4629"/>
      </w:tblGrid>
      <w:tr>
        <w:trPr>
          <w:trHeight w:hRule="exact" w:val="78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434F4A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434F4A"/>
                <w:sz w:val="20"/>
              </w:rPr>
              <w:t xml:space="preserve"> All debts and liabilities of the Institute existing on </w:t>
            </w:r>
            <w:r>
              <w:rPr>
                <w:rFonts w:ascii="Times" w:hAnsi="Times" w:eastAsia="Times"/>
                <w:b w:val="0"/>
                <w:i w:val="0"/>
                <w:color w:val="434F4A"/>
                <w:sz w:val="20"/>
              </w:rPr>
              <w:t>the day</w:t>
            </w:r>
            <w:r>
              <w:rPr>
                <w:rFonts w:ascii="Times" w:hAnsi="Times" w:eastAsia="Times"/>
                <w:b w:val="0"/>
                <w:i w:val="0"/>
                <w:color w:val="434F4A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434F4A"/>
                <w:sz w:val="20"/>
              </w:rPr>
              <w:t>of this Act, shall be paid by the body corporate hereby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62"/>
        <w:ind w:left="1436" w:right="3020" w:firstLine="0"/>
        <w:jc w:val="both"/>
      </w:pPr>
      <w:r>
        <w:rPr>
          <w:rFonts w:ascii="Times" w:hAnsi="Times" w:eastAsia="Times"/>
          <w:b w:val="0"/>
          <w:i w:val="0"/>
          <w:color w:val="434F4A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434F4A"/>
          <w:sz w:val="20"/>
        </w:rPr>
        <w:t xml:space="preserve">contributions payable to the Institute on that day shall be </w:t>
      </w:r>
      <w:r>
        <w:rPr>
          <w:rFonts w:ascii="Times" w:hAnsi="Times" w:eastAsia="Times"/>
          <w:b w:val="0"/>
          <w:i w:val="0"/>
          <w:color w:val="434F4A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629"/>
        <w:gridCol w:w="4629"/>
      </w:tblGrid>
      <w:tr>
        <w:trPr>
          <w:trHeight w:hRule="exact" w:val="10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62" w:lineRule="auto" w:before="6" w:after="258"/>
        <w:ind w:left="1438" w:right="30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property shall be held by the body corporate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made under section 10, with power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629"/>
        <w:gridCol w:w="4629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71" w:lineRule="auto" w:before="26" w:after="0"/>
        <w:ind w:left="1438" w:right="30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howsoever to the members of the body corporate.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62" w:lineRule="auto" w:before="326" w:after="0"/>
        <w:ind w:left="143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F4947"/>
          <w:sz w:val="20"/>
        </w:rPr>
        <w:t>18.</w:t>
      </w:r>
      <w:r>
        <w:rPr>
          <w:rFonts w:ascii="Times" w:hAnsi="Times" w:eastAsia="Times"/>
          <w:b w:val="0"/>
          <w:i w:val="0"/>
          <w:color w:val="3F4947"/>
          <w:sz w:val="20"/>
        </w:rPr>
        <w:t xml:space="preserve"> (1) The seal of the body corporate shall not be affixed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body </w:t>
      </w:r>
      <w:r>
        <w:rPr>
          <w:rFonts w:ascii="Times" w:hAnsi="Times" w:eastAsia="Times"/>
          <w:b w:val="0"/>
          <w:i w:val="0"/>
          <w:color w:val="3F4947"/>
          <w:sz w:val="20"/>
        </w:rPr>
        <w:t xml:space="preserve">to any instrument whatsoever, except in the presence of two </w:t>
      </w: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autoSpaceDN w:val="0"/>
        <w:autoSpaceDE w:val="0"/>
        <w:widowControl/>
        <w:spacing w:line="276" w:lineRule="auto" w:before="50" w:after="0"/>
        <w:ind w:left="1438" w:right="3020" w:firstLine="0"/>
        <w:jc w:val="both"/>
      </w:pPr>
      <w:r>
        <w:rPr>
          <w:rFonts w:ascii="Times" w:hAnsi="Times" w:eastAsia="Times"/>
          <w:b w:val="0"/>
          <w:i w:val="0"/>
          <w:color w:val="3F4947"/>
          <w:sz w:val="20"/>
        </w:rPr>
        <w:t xml:space="preserve">members of the Executive Board who shall sign their names </w:t>
      </w:r>
      <w:r>
        <w:rPr>
          <w:rFonts w:ascii="Times" w:hAnsi="Times" w:eastAsia="Times"/>
          <w:b w:val="0"/>
          <w:i w:val="0"/>
          <w:color w:val="3F4947"/>
          <w:sz w:val="20"/>
        </w:rPr>
        <w:t xml:space="preserve">to the instrument in token of their presence and such </w:t>
      </w:r>
      <w:r>
        <w:rPr>
          <w:rFonts w:ascii="Times" w:hAnsi="Times" w:eastAsia="Times"/>
          <w:b w:val="0"/>
          <w:i w:val="0"/>
          <w:color w:val="3F4947"/>
          <w:sz w:val="20"/>
        </w:rPr>
        <w:t xml:space="preserve">signing shall be independent of the signing of any person as </w:t>
      </w:r>
      <w:r>
        <w:rPr>
          <w:rFonts w:ascii="Times" w:hAnsi="Times" w:eastAsia="Times"/>
          <w:b w:val="0"/>
          <w:i w:val="0"/>
          <w:color w:val="3F4947"/>
          <w:sz w:val="20"/>
        </w:rPr>
        <w:t>a witness.</w:t>
      </w:r>
    </w:p>
    <w:p>
      <w:pPr>
        <w:autoSpaceDN w:val="0"/>
        <w:autoSpaceDE w:val="0"/>
        <w:widowControl/>
        <w:spacing w:line="262" w:lineRule="auto" w:before="326" w:after="50"/>
        <w:ind w:left="1438" w:right="2880" w:firstLine="240"/>
        <w:jc w:val="left"/>
      </w:pPr>
      <w:r>
        <w:rPr>
          <w:rFonts w:ascii="Times" w:hAnsi="Times" w:eastAsia="Times"/>
          <w:b w:val="0"/>
          <w:i w:val="0"/>
          <w:color w:val="3F4947"/>
          <w:sz w:val="20"/>
        </w:rPr>
        <w:t xml:space="preserve">(2) The seal of the body corporate shall be in the </w:t>
      </w:r>
      <w:r>
        <w:rPr>
          <w:rFonts w:ascii="Times" w:hAnsi="Times" w:eastAsia="Times"/>
          <w:b w:val="0"/>
          <w:i w:val="0"/>
          <w:color w:val="3F4947"/>
          <w:sz w:val="20"/>
        </w:rPr>
        <w:t>custody of an office bearer of the Executive Board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6.0000000000002" w:type="dxa"/>
      </w:tblPr>
      <w:tblGrid>
        <w:gridCol w:w="9258"/>
      </w:tblGrid>
      <w:tr>
        <w:trPr>
          <w:trHeight w:hRule="exact" w:val="268"/>
        </w:trPr>
        <w:tc>
          <w:tcPr>
            <w:tcW w:type="dxa" w:w="6250"/>
            <w:tcBorders>
              <w:top w:sz="3.8399999141693115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F4947"/>
                <w:sz w:val="20"/>
              </w:rPr>
              <w:t xml:space="preserve">be decided by such Executive Board.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20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74" w:val="left"/>
          <w:tab w:pos="3702" w:val="left"/>
        </w:tabs>
        <w:autoSpaceDE w:val="0"/>
        <w:widowControl/>
        <w:spacing w:line="247" w:lineRule="auto" w:before="0" w:after="196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International Institute of Theravadha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lf upon the dissolution of the body corporate,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remains,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but,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by the rules thereof, prohibited from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62" w:lineRule="auto" w:before="292" w:after="23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50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rights of the Republic or of any body politic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corporate.</w:t>
            </w:r>
          </w:p>
          <w:p>
            <w:pPr>
              <w:autoSpaceDN w:val="0"/>
              <w:autoSpaceDE w:val="0"/>
              <w:widowControl/>
              <w:spacing w:line="235" w:lineRule="auto" w:before="292" w:after="0"/>
              <w:ind w:left="5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F3C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 xml:space="preserve"> In this Act, unless the context otherwise requires:-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4042" w:right="1436" w:hanging="48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 xml:space="preserve">‘bank” means a licensed commercial bank within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meaning of the Banking Act, No. 30 of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1988; and</w:t>
      </w:r>
    </w:p>
    <w:p>
      <w:pPr>
        <w:autoSpaceDN w:val="0"/>
        <w:autoSpaceDE w:val="0"/>
        <w:widowControl/>
        <w:spacing w:line="259" w:lineRule="auto" w:before="294" w:after="230"/>
        <w:ind w:left="4042" w:right="1436" w:hanging="48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 xml:space="preserve">“written law” shall have the same meaning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assigned to such expression in the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7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96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3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International Institute of Theravadha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6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 Act, No. 32 of 2024</w:t>
      </w:r>
    </w:p>
    <w:p>
      <w:pPr>
        <w:autoSpaceDN w:val="0"/>
        <w:autoSpaceDE w:val="0"/>
        <w:widowControl/>
        <w:spacing w:line="245" w:lineRule="auto" w:before="922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