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7" w:lineRule="auto" w:before="534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DEDIGAMA SRI MAITHRI PRAGNARTHA </w:t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BOUDDHA EDUCATIONAL DAHAM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SABHAWA </w:t>
      </w:r>
      <w:r>
        <w:rPr>
          <w:w w:val="101.07786390516493"/>
          <w:rFonts w:ascii="Times,Bold" w:hAnsi="Times,Bold" w:eastAsia="Times,Bold"/>
          <w:b/>
          <w:i w:val="0"/>
          <w:color w:val="221F1F"/>
          <w:sz w:val="27"/>
        </w:rPr>
        <w:t xml:space="preserve">(INCORPORATION)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>ACT, No. 35 OF 2024</w:t>
      </w:r>
    </w:p>
    <w:p>
      <w:pPr>
        <w:autoSpaceDN w:val="0"/>
        <w:autoSpaceDE w:val="0"/>
        <w:widowControl/>
        <w:spacing w:line="235" w:lineRule="auto" w:before="670" w:after="0"/>
        <w:ind w:left="0" w:right="306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19th of  June, 2024]</w:t>
      </w:r>
    </w:p>
    <w:p>
      <w:pPr>
        <w:autoSpaceDN w:val="0"/>
        <w:autoSpaceDE w:val="0"/>
        <w:widowControl/>
        <w:spacing w:line="235" w:lineRule="auto" w:before="32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45" w:lineRule="auto" w:before="75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June 20, 2024</w:t>
      </w:r>
    </w:p>
    <w:p>
      <w:pPr>
        <w:autoSpaceDN w:val="0"/>
        <w:autoSpaceDE w:val="0"/>
        <w:widowControl/>
        <w:spacing w:line="245" w:lineRule="auto" w:before="406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Dedigama Sri Maithri Pragnartha Bouddha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872" w:right="316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Educational Daham Sabhawa (Incorporation)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35 of 2024</w:t>
      </w:r>
    </w:p>
    <w:p>
      <w:pPr>
        <w:autoSpaceDN w:val="0"/>
        <w:autoSpaceDE w:val="0"/>
        <w:widowControl/>
        <w:spacing w:line="235" w:lineRule="auto" w:before="110" w:after="0"/>
        <w:ind w:left="0" w:right="38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19th of June, 2024]</w:t>
      </w:r>
    </w:p>
    <w:p>
      <w:pPr>
        <w:autoSpaceDN w:val="0"/>
        <w:autoSpaceDE w:val="0"/>
        <w:widowControl/>
        <w:spacing w:line="235" w:lineRule="auto" w:before="13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(Inc.) 2/2021</w:t>
      </w:r>
    </w:p>
    <w:p>
      <w:pPr>
        <w:autoSpaceDN w:val="0"/>
        <w:autoSpaceDE w:val="0"/>
        <w:widowControl/>
        <w:spacing w:line="245" w:lineRule="auto" w:before="236" w:after="0"/>
        <w:ind w:left="1728" w:right="316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EDIGAMA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AITHRI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RAGNARTHA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OUDDHA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DUCATIONAL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AHAM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ABHAWA</w:t>
      </w:r>
    </w:p>
    <w:p>
      <w:pPr>
        <w:autoSpaceDN w:val="0"/>
        <w:tabs>
          <w:tab w:pos="6478" w:val="left"/>
        </w:tabs>
        <w:autoSpaceDE w:val="0"/>
        <w:widowControl/>
        <w:spacing w:line="245" w:lineRule="auto" w:before="236" w:after="0"/>
        <w:ind w:left="143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 Foundation called and known as the </w:t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Dedigama Sri Maithri Pragnartha Bouddha Educational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Daham Sabhawa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has heretofore been established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for the purpose of effectually carrying out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objects and transacting all matters connected with the said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Foundation according to the rules agreed to by its members:</w:t>
      </w:r>
    </w:p>
    <w:p>
      <w:pPr>
        <w:autoSpaceDN w:val="0"/>
        <w:autoSpaceDE w:val="0"/>
        <w:widowControl/>
        <w:spacing w:line="245" w:lineRule="auto" w:before="23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000000"/>
          <w:sz w:val="20"/>
        </w:rPr>
        <w:t>grant the said application:</w:t>
      </w:r>
    </w:p>
    <w:p>
      <w:pPr>
        <w:autoSpaceDN w:val="0"/>
        <w:autoSpaceDE w:val="0"/>
        <w:widowControl/>
        <w:spacing w:line="245" w:lineRule="auto" w:before="236" w:after="17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Dedigama Sri Maithri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45" w:lineRule="auto" w:before="2" w:after="408"/>
        <w:ind w:left="1438" w:right="2736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Pragnartha Bouddha Educational Daham Sabhawa </w:t>
      </w:r>
      <w:r>
        <w:rPr>
          <w:rFonts w:ascii="Times" w:hAnsi="Times" w:eastAsia="Times"/>
          <w:b w:val="0"/>
          <w:i w:val="0"/>
          <w:color w:val="000000"/>
          <w:sz w:val="20"/>
        </w:rPr>
        <w:t>(Incorporation) Act, No. 35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91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From and after the date of commencement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such and so many persons as now are 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Dedigama Sri Maithri Pragnartha Bouddha Educational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Daham Sabhawa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(hereinafter referred to as the “Foundation”)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 shall hereafter be admitted as members of the body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corporate hereby constituted shall have perpetual succession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name and style of the 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Dedigama Sri Maithri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Pragnartha Bouddha Educational Daham Sabhawa”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6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Dedigama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Maithri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Pragnartha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Bouddha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Educational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Daham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Sabhawa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referred to as the “body corporate”), and by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name may sue and be sued with full power and authority to </w:t>
      </w:r>
      <w:r>
        <w:rPr>
          <w:rFonts w:ascii="Times" w:hAnsi="Times" w:eastAsia="Times"/>
          <w:b w:val="0"/>
          <w:i w:val="0"/>
          <w:color w:val="000000"/>
          <w:sz w:val="20"/>
        </w:rPr>
        <w:t>have, and use a common seal and to alter the same at its</w:t>
      </w:r>
    </w:p>
    <w:p>
      <w:pPr>
        <w:autoSpaceDN w:val="0"/>
        <w:autoSpaceDE w:val="0"/>
        <w:widowControl/>
        <w:spacing w:line="238" w:lineRule="auto" w:before="3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14" w:val="left"/>
          <w:tab w:pos="3402" w:val="left"/>
          <w:tab w:pos="4414" w:val="left"/>
        </w:tabs>
        <w:autoSpaceDE w:val="0"/>
        <w:widowControl/>
        <w:spacing w:line="245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Educational Daham Sabhawa (Incorporation) </w:t>
      </w:r>
      <w:r>
        <w:br/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35 of 2024</w:t>
      </w:r>
    </w:p>
    <w:p>
      <w:pPr>
        <w:autoSpaceDN w:val="0"/>
        <w:autoSpaceDE w:val="0"/>
        <w:widowControl/>
        <w:spacing w:line="245" w:lineRule="auto" w:before="262" w:after="406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Services Organizations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86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202" w:right="69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 Subject to the provisions of any other written law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objects for which the body corporate is constituted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 hereby declared to be–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and guide the Buddhist adherence to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1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practice “prathipathi pooja” to reach Nibbana;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3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publish books relating to Buddhism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enhancement and development of religious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on Seela, Samadhi and Pragnya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Buddhist adherence;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3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safeguard and practice the “Kathikavatha”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Dedigama Sri Maithri Pragnartha thero;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3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steps to enhance the knowledge of newly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ordained monks and lay Buddhists attached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Dedigama Sri Maithri Pragnartha Bouddha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Educational Daham Sabhawa by teaching Damma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the guidance of the adult monks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 and in-depth uderstanding of the Buddhist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doctrine and discipline;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3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distribute the four requisites received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Buddhist Monks attached to the Sri Sambodhi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Aranya Senasanas belonging to the Dedigama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Maithri Pragnartha Bouddha Educational Daham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Sabhawa for the use of other Buddhist monks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attached to the Sri Maithri Pragnartha Bouddha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Educational Daham Sabhawa in order to estabish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equality;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38" w:val="left"/>
          <w:tab w:pos="3050" w:val="left"/>
          <w:tab w:pos="6134" w:val="left"/>
        </w:tabs>
        <w:autoSpaceDE w:val="0"/>
        <w:widowControl/>
        <w:spacing w:line="245" w:lineRule="auto" w:before="0" w:after="0"/>
        <w:ind w:left="194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Educational Daham Sabhawa (Incorporation)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35 of 2024</w:t>
      </w:r>
    </w:p>
    <w:p>
      <w:pPr>
        <w:autoSpaceDN w:val="0"/>
        <w:tabs>
          <w:tab w:pos="2158" w:val="left"/>
        </w:tabs>
        <w:autoSpaceDE w:val="0"/>
        <w:widowControl/>
        <w:spacing w:line="283" w:lineRule="auto" w:before="282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activities ralating to Buddhism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usage of Bhikku, Bhikkuni, Upasaka and Upasika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order to achieve the goals of Sri Maithri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Pragnartha Bouddha Educational Daham Sabhawa;</w:t>
      </w:r>
    </w:p>
    <w:p>
      <w:pPr>
        <w:autoSpaceDN w:val="0"/>
        <w:tabs>
          <w:tab w:pos="2158" w:val="left"/>
        </w:tabs>
        <w:autoSpaceDE w:val="0"/>
        <w:widowControl/>
        <w:spacing w:line="278" w:lineRule="auto" w:before="34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work in compliance with the constitution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Dedigama Sri Maithri Pragnartha Bouddha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Educational Daham Sabhawa;</w:t>
      </w:r>
    </w:p>
    <w:p>
      <w:pPr>
        <w:autoSpaceDN w:val="0"/>
        <w:tabs>
          <w:tab w:pos="2158" w:val="left"/>
        </w:tabs>
        <w:autoSpaceDE w:val="0"/>
        <w:widowControl/>
        <w:spacing w:line="286" w:lineRule="auto" w:before="34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conduct sil and meditation programmes on Poya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days and conduct Damma discussions on every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week to guide Buddhist adherence to reach Nibbana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abstain from sinful acts by giving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prominence to Principles of Buddhism;</w:t>
      </w:r>
    </w:p>
    <w:p>
      <w:pPr>
        <w:autoSpaceDN w:val="0"/>
        <w:tabs>
          <w:tab w:pos="2158" w:val="left"/>
        </w:tabs>
        <w:autoSpaceDE w:val="0"/>
        <w:widowControl/>
        <w:spacing w:line="283" w:lineRule="auto" w:before="344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steps to protect the books, videos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Damma speeches ralating to the religious activities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Venerable Dedigama Sri Maithri Pragnartha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thero; and</w:t>
      </w:r>
    </w:p>
    <w:p>
      <w:pPr>
        <w:autoSpaceDN w:val="0"/>
        <w:tabs>
          <w:tab w:pos="2158" w:val="left"/>
        </w:tabs>
        <w:autoSpaceDE w:val="0"/>
        <w:widowControl/>
        <w:spacing w:line="283" w:lineRule="auto" w:before="344" w:after="284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set up new Sri Smabodhi Aranya Senasana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areas where groups of Buddhist adherence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practice Buddhism live and who wish to contribute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such Sri Sambodhi Aranya Senasana.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 shall be carried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Ministry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Provincial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Council, etc.</w:t>
            </w:r>
          </w:p>
        </w:tc>
      </w:tr>
      <w:tr>
        <w:trPr>
          <w:trHeight w:hRule="exact" w:val="11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44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subject to necessary approvals under applicable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laws in such manner so as not to create any conflict between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work of the body corporate and any work being carried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simultaneously by any Ministry or Department of 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30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or of any Provincial Council, Local Authority </w:t>
      </w:r>
      <w:r>
        <w:rPr>
          <w:rFonts w:ascii="Times" w:hAnsi="Times" w:eastAsia="Times"/>
          <w:b w:val="0"/>
          <w:i w:val="0"/>
          <w:color w:val="000000"/>
          <w:sz w:val="20"/>
        </w:rPr>
        <w:t>or public Corporation.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14" w:val="left"/>
          <w:tab w:pos="3402" w:val="left"/>
          <w:tab w:pos="4414" w:val="left"/>
        </w:tabs>
        <w:autoSpaceDE w:val="0"/>
        <w:widowControl/>
        <w:spacing w:line="245" w:lineRule="auto" w:before="0" w:after="246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Educational Daham Sabhawa (Incorporation) </w:t>
      </w:r>
      <w:r>
        <w:br/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35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4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affairs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6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Subject to the provisions of this Act,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 and the rules made under section 7,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and administration of the affairs of the body</w:t>
            </w:r>
          </w:p>
        </w:tc>
      </w:tr>
    </w:tbl>
    <w:p>
      <w:pPr>
        <w:autoSpaceDN w:val="0"/>
        <w:autoSpaceDE w:val="0"/>
        <w:widowControl/>
        <w:spacing w:line="269" w:lineRule="auto" w:before="20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shall be carried out by a Committee of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“Committee”) consisting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number of office bearers as may be specified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rules made under  section 7.</w:t>
      </w:r>
    </w:p>
    <w:p>
      <w:pPr>
        <w:autoSpaceDN w:val="0"/>
        <w:autoSpaceDE w:val="0"/>
        <w:widowControl/>
        <w:spacing w:line="274" w:lineRule="auto" w:before="308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members of the Committee of Management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Foundation holding office on the day immediately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date of commencement of this Act shall, subject </w:t>
      </w:r>
      <w:r>
        <w:rPr>
          <w:rFonts w:ascii="Times" w:hAnsi="Times" w:eastAsia="Times"/>
          <w:b w:val="0"/>
          <w:i w:val="0"/>
          <w:color w:val="221F1F"/>
          <w:sz w:val="20"/>
        </w:rPr>
        <w:t>to the rules made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function as an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the body corporate until the first Committee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the period specified in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in the manner provided for by rules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>section 7.</w:t>
      </w:r>
    </w:p>
    <w:p>
      <w:pPr>
        <w:autoSpaceDN w:val="0"/>
        <w:autoSpaceDE w:val="0"/>
        <w:widowControl/>
        <w:spacing w:line="271" w:lineRule="auto" w:before="30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Subject to the provisions of section 7, the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the body corporate shall have the 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 for the interim administration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 election or appointment of the members of the first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the body corporate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 or any other written law:</w:t>
      </w:r>
    </w:p>
    <w:p>
      <w:pPr>
        <w:autoSpaceDN w:val="0"/>
        <w:autoSpaceDE w:val="0"/>
        <w:widowControl/>
        <w:spacing w:line="264" w:lineRule="auto" w:before="31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provisions of subsections (2) and (3)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7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to the rules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(2).</w:t>
      </w:r>
    </w:p>
    <w:p>
      <w:pPr>
        <w:autoSpaceDN w:val="0"/>
        <w:tabs>
          <w:tab w:pos="3042" w:val="left"/>
        </w:tabs>
        <w:autoSpaceDE w:val="0"/>
        <w:widowControl/>
        <w:spacing w:line="259" w:lineRule="auto" w:before="308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Any decision of the Interim Committee shall be taken </w:t>
      </w:r>
      <w:r>
        <w:rPr>
          <w:rFonts w:ascii="Times" w:hAnsi="Times" w:eastAsia="Times"/>
          <w:b w:val="0"/>
          <w:i w:val="0"/>
          <w:color w:val="221F1F"/>
          <w:sz w:val="20"/>
        </w:rPr>
        <w:t>by the majority of its members present at such meeting.</w:t>
      </w:r>
    </w:p>
    <w:p>
      <w:pPr>
        <w:autoSpaceDN w:val="0"/>
        <w:autoSpaceDE w:val="0"/>
        <w:widowControl/>
        <w:spacing w:line="269" w:lineRule="auto" w:before="31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The first Committee 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38" w:val="left"/>
          <w:tab w:pos="3050" w:val="left"/>
          <w:tab w:pos="6134" w:val="left"/>
        </w:tabs>
        <w:autoSpaceDE w:val="0"/>
        <w:widowControl/>
        <w:spacing w:line="245" w:lineRule="auto" w:before="0" w:after="0"/>
        <w:ind w:left="194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Educational Daham Sabhawa (Incorporation)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35 of 2024</w:t>
      </w:r>
    </w:p>
    <w:p>
      <w:pPr>
        <w:autoSpaceDN w:val="0"/>
        <w:autoSpaceDE w:val="0"/>
        <w:widowControl/>
        <w:spacing w:line="264" w:lineRule="auto" w:before="29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Committee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advisers, shall be appointed or elected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and any such office bearer, patron or advisor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eligible for re-appointment or re-election after lapse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said period of three years.</w:t>
      </w:r>
    </w:p>
    <w:p>
      <w:pPr>
        <w:autoSpaceDN w:val="0"/>
        <w:autoSpaceDE w:val="0"/>
        <w:widowControl/>
        <w:spacing w:line="264" w:lineRule="auto" w:before="29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Committee shall having regard to the 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corporate, elect or appoint a person to fill such vacancy.</w:t>
      </w:r>
    </w:p>
    <w:p>
      <w:pPr>
        <w:autoSpaceDN w:val="0"/>
        <w:autoSpaceDE w:val="0"/>
        <w:widowControl/>
        <w:spacing w:line="259" w:lineRule="auto" w:before="294" w:after="23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of </w:t>
      </w: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  <w:tr>
        <w:trPr>
          <w:trHeight w:hRule="exact" w:val="27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6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execute the acts and matters as are necessary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desirable for the promotion or attainment of the objects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or any one of them,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>following power–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66" w:lineRule="auto" w:before="294" w:after="0"/>
        <w:ind w:left="176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rent, construct, renovate and otherwise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lands or buildings which may be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body corporate and to deal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or dispose of the same as determined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with a view to promoting the objects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69" w:lineRule="auto" w:before="294" w:after="0"/>
        <w:ind w:left="176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and perform or carry out, whether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through any officer or agent authorized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that behalf by the body corporate, all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contracts or agreements as may be necessary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attainment of the objects or the exercise of the powers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14" w:val="left"/>
          <w:tab w:pos="3402" w:val="left"/>
          <w:tab w:pos="4414" w:val="left"/>
        </w:tabs>
        <w:autoSpaceDE w:val="0"/>
        <w:widowControl/>
        <w:spacing w:line="245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Educational Daham Sabhawa (Incorporation) </w:t>
      </w:r>
      <w:r>
        <w:br/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35 of 2024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62" w:lineRule="auto" w:before="298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borrow or raise funds with or without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in cash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kind:</w:t>
      </w:r>
    </w:p>
    <w:p>
      <w:pPr>
        <w:autoSpaceDN w:val="0"/>
        <w:autoSpaceDE w:val="0"/>
        <w:widowControl/>
        <w:spacing w:line="264" w:lineRule="auto" w:before="292" w:after="0"/>
        <w:ind w:left="3502" w:right="1436" w:firstLine="21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Committee shall obtain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in respect of all foreign grants, gifts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 made to the body corporate;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64" w:lineRule="auto" w:before="292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make, draw, accept, discount, endorse, negotiate,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any bank;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9" w:lineRule="auto" w:before="292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that are not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body corporate,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manner as the Committee may determine;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64" w:lineRule="auto" w:before="290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 any lawful trust having objects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body corporate or any real or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with a view to promoting the objects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66" w:lineRule="auto" w:before="290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dismiss or terminate the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other employees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exercise disciplinary control over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and to pay them such salaries, allowances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gratuities, as may be determined by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64" w:lineRule="auto" w:before="294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organize, lectures, seminars and conferences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38" w:val="left"/>
          <w:tab w:pos="3050" w:val="left"/>
          <w:tab w:pos="6134" w:val="left"/>
        </w:tabs>
        <w:autoSpaceDE w:val="0"/>
        <w:widowControl/>
        <w:spacing w:line="245" w:lineRule="auto" w:before="0" w:after="0"/>
        <w:ind w:left="194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Educational Daham Sabhawa (Incorporation)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35 of 2024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57" w:lineRule="auto" w:before="298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liaise and co-ordinate with other local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institutions having similar objects to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54" w:lineRule="auto" w:before="278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train personnel in Sri Lanka or abroad with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view to promoting the objects of the body corporate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the body corporate; and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54" w:lineRule="auto" w:before="278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all other acts and things authorized by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for the achievement of the objects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corporate.</w:t>
      </w:r>
    </w:p>
    <w:p>
      <w:pPr>
        <w:autoSpaceDN w:val="0"/>
        <w:tabs>
          <w:tab w:pos="1678" w:val="left"/>
          <w:tab w:pos="2030" w:val="left"/>
          <w:tab w:pos="6496" w:val="left"/>
        </w:tabs>
        <w:autoSpaceDE w:val="0"/>
        <w:widowControl/>
        <w:spacing w:line="250" w:lineRule="auto" w:before="278" w:after="0"/>
        <w:ind w:left="143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7.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It shall be lawful for the body corporate,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to time, at any general meeting of the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body corporate</w:t>
      </w:r>
    </w:p>
    <w:p>
      <w:pPr>
        <w:autoSpaceDN w:val="0"/>
        <w:autoSpaceDE w:val="0"/>
        <w:widowControl/>
        <w:spacing w:line="257" w:lineRule="auto" w:before="2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a majority  of not less than two-thirds of the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voting, to make rules,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any other written law, for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matters:—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54" w:lineRule="auto" w:before="278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the members;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57" w:lineRule="auto" w:before="278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Committee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54" w:lineRule="auto" w:before="278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appointment, powers,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various officers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employees of the body corporate;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57" w:lineRule="auto" w:before="278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for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notices and agenda of such meetings, the quorum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conduct of business thereat;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14" w:val="left"/>
          <w:tab w:pos="3402" w:val="left"/>
          <w:tab w:pos="4414" w:val="left"/>
        </w:tabs>
        <w:autoSpaceDE w:val="0"/>
        <w:widowControl/>
        <w:spacing w:line="245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Educational Daham Sabhawa (Incorporation) </w:t>
      </w:r>
      <w:r>
        <w:br/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35 of 2024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45" w:lineRule="auto" w:before="274" w:after="168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 and disqualifications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Committee and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62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45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91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576" w:firstLine="1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administration and management of the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corporate;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102" w:right="716" w:firstLine="1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procedure governing the manner of liaising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coordinating with other local and foriegn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institutions having objects similar to that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body corporate; and 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102" w:right="716" w:firstLine="1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generally, the management of the affairs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corporate and the accomplishment of its’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dissolution of the body corporate.</w:t>
            </w:r>
          </w:p>
        </w:tc>
      </w:tr>
    </w:tbl>
    <w:p>
      <w:pPr>
        <w:autoSpaceDN w:val="0"/>
        <w:autoSpaceDE w:val="0"/>
        <w:widowControl/>
        <w:spacing w:line="245" w:lineRule="auto" w:before="16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body corporate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like manner, as a rule made under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autoSpaceDN w:val="0"/>
        <w:autoSpaceDE w:val="0"/>
        <w:widowControl/>
        <w:spacing w:line="245" w:lineRule="auto" w:before="22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made under subsection (1),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effect on the </w:t>
      </w:r>
      <w:r>
        <w:rPr>
          <w:rFonts w:ascii="Times" w:hAnsi="Times" w:eastAsia="Times"/>
          <w:b w:val="0"/>
          <w:i w:val="0"/>
          <w:color w:val="221F1F"/>
          <w:sz w:val="20"/>
        </w:rPr>
        <w:t>date thereof.</w:t>
      </w:r>
    </w:p>
    <w:p>
      <w:pPr>
        <w:autoSpaceDN w:val="0"/>
        <w:autoSpaceDE w:val="0"/>
        <w:widowControl/>
        <w:spacing w:line="245" w:lineRule="auto" w:before="22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rule made by the body corporate within three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brought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for approval. Any rule which is not so approved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rescinded as from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disapproval, but without prejudice to anything previously </w:t>
      </w:r>
      <w:r>
        <w:rPr>
          <w:rFonts w:ascii="Times" w:hAnsi="Times" w:eastAsia="Times"/>
          <w:b w:val="0"/>
          <w:i w:val="0"/>
          <w:color w:val="221F1F"/>
          <w:sz w:val="20"/>
        </w:rPr>
        <w:t>done thereunder.</w:t>
      </w:r>
    </w:p>
    <w:p>
      <w:pPr>
        <w:autoSpaceDN w:val="0"/>
        <w:autoSpaceDE w:val="0"/>
        <w:widowControl/>
        <w:spacing w:line="245" w:lineRule="auto" w:before="22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such rule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rescinded under subsection (4)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22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38" w:val="left"/>
          <w:tab w:pos="3050" w:val="left"/>
          <w:tab w:pos="6134" w:val="left"/>
        </w:tabs>
        <w:autoSpaceDE w:val="0"/>
        <w:widowControl/>
        <w:spacing w:line="245" w:lineRule="auto" w:before="0" w:after="162"/>
        <w:ind w:left="194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Educational Daham Sabhawa (Incorporation)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35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Committee shall maintain a register of members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5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which name, address and other essential details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" w:after="28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</w:tbl>
    <w:p>
      <w:pPr>
        <w:autoSpaceDN w:val="0"/>
        <w:autoSpaceDE w:val="0"/>
        <w:widowControl/>
        <w:spacing w:line="281" w:lineRule="auto" w:before="10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moneys received by way of gifts, bequests,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donations, subscriptions, contributions, fees or grants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on account of the body corporate shall be deposited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or more banks approved by the Committee to the credit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body corporate subject to the provisions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>6(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76" w:lineRule="auto" w:before="324" w:after="264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Fund, all such sums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in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  <w:tr>
        <w:trPr>
          <w:trHeight w:hRule="exact" w:val="31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26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autoSpaceDE w:val="0"/>
        <w:widowControl/>
        <w:spacing w:line="276" w:lineRule="auto" w:before="32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a qualified auditor appointed by Auditor 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provisions of Article 154 of the Constitution and </w:t>
      </w:r>
      <w:r>
        <w:rPr>
          <w:rFonts w:ascii="Times" w:hAnsi="Times" w:eastAsia="Times"/>
          <w:b w:val="0"/>
          <w:i w:val="0"/>
          <w:color w:val="221F1F"/>
          <w:sz w:val="20"/>
        </w:rPr>
        <w:t>be certified by such qualified Auditor.</w:t>
      </w:r>
    </w:p>
    <w:p>
      <w:pPr>
        <w:autoSpaceDN w:val="0"/>
        <w:tabs>
          <w:tab w:pos="1696" w:val="left"/>
        </w:tabs>
        <w:autoSpaceDE w:val="0"/>
        <w:widowControl/>
        <w:spacing w:line="264" w:lineRule="auto" w:before="32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 “a 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14" w:val="left"/>
          <w:tab w:pos="3402" w:val="left"/>
          <w:tab w:pos="4414" w:val="left"/>
        </w:tabs>
        <w:autoSpaceDE w:val="0"/>
        <w:widowControl/>
        <w:spacing w:line="245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Educational Daham Sabhawa (Incorporation) </w:t>
      </w:r>
      <w:r>
        <w:br/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35 of 2024</w:t>
      </w:r>
    </w:p>
    <w:p>
      <w:pPr>
        <w:autoSpaceDN w:val="0"/>
        <w:tabs>
          <w:tab w:pos="3502" w:val="left"/>
        </w:tabs>
        <w:autoSpaceDE w:val="0"/>
        <w:widowControl/>
        <w:spacing w:line="278" w:lineRule="auto" w:before="31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p>
      <w:pPr>
        <w:autoSpaceDN w:val="0"/>
        <w:tabs>
          <w:tab w:pos="3502" w:val="left"/>
        </w:tabs>
        <w:autoSpaceDE w:val="0"/>
        <w:widowControl/>
        <w:spacing w:line="283" w:lineRule="auto" w:before="286" w:after="256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Chartered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 or of any other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law, possesses a certificate to practice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Accountant, issued by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 Report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Committee shall prepare a report of the</w:t>
            </w:r>
          </w:p>
        </w:tc>
      </w:tr>
    </w:tbl>
    <w:p>
      <w:pPr>
        <w:autoSpaceDN w:val="0"/>
        <w:autoSpaceDE w:val="0"/>
        <w:widowControl/>
        <w:spacing w:line="288" w:lineRule="auto" w:before="2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activities of the body corporate for each financial year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such report together with the audited statement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and a list of all assets and liabilities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certified by a qualified Auditor 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10 to the Secretary of the Ministry of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Buddhasasana and to the Registrar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Voluntary Social Services Organizations appointed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Voluntary Social Services Organizations (Registration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Supervision) Act, No. 31 of 1980 before the expiration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six months of the year succeeding the year to which such </w:t>
      </w:r>
      <w:r>
        <w:rPr>
          <w:rFonts w:ascii="Times" w:hAnsi="Times" w:eastAsia="Times"/>
          <w:b w:val="0"/>
          <w:i w:val="0"/>
          <w:color w:val="000000"/>
          <w:sz w:val="20"/>
        </w:rPr>
        <w:t>report relates.</w:t>
      </w:r>
    </w:p>
    <w:p>
      <w:pPr>
        <w:autoSpaceDN w:val="0"/>
        <w:autoSpaceDE w:val="0"/>
        <w:widowControl/>
        <w:spacing w:line="283" w:lineRule="auto" w:before="33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statement of accounts relating to the foreign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local moneys received by the body corporate, the details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all contracts and agreements entered into by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and the rules of the body corporate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7 during the financial year shall be attached to the </w:t>
      </w:r>
      <w:r>
        <w:rPr>
          <w:rFonts w:ascii="Times" w:hAnsi="Times" w:eastAsia="Times"/>
          <w:b w:val="0"/>
          <w:i w:val="0"/>
          <w:color w:val="000000"/>
          <w:sz w:val="20"/>
        </w:rPr>
        <w:t>report referred to in 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38" w:val="left"/>
          <w:tab w:pos="3050" w:val="left"/>
          <w:tab w:pos="6032" w:val="left"/>
        </w:tabs>
        <w:autoSpaceDE w:val="0"/>
        <w:widowControl/>
        <w:spacing w:line="245" w:lineRule="auto" w:before="0" w:after="260"/>
        <w:ind w:left="1946" w:right="417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Educational Daham Sabhawa (Incorporation)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35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487"/>
        <w:gridCol w:w="3487"/>
        <w:gridCol w:w="3487"/>
      </w:tblGrid>
      <w:tr>
        <w:trPr>
          <w:trHeight w:hRule="exact" w:val="29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136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Foundation</w:t>
            </w:r>
          </w:p>
        </w:tc>
      </w:tr>
      <w:tr>
        <w:trPr>
          <w:trHeight w:hRule="exact" w:val="58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day 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body corporate hereby</w:t>
            </w:r>
          </w:p>
        </w:tc>
        <w:tc>
          <w:tcPr>
            <w:tcW w:type="dxa" w:w="348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26" w:after="226"/>
        <w:ind w:left="1438" w:right="42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 and subscriptions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Foundation on that day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paid to the body corporate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487"/>
        <w:gridCol w:w="3487"/>
        <w:gridCol w:w="3487"/>
      </w:tblGrid>
      <w:tr>
        <w:trPr>
          <w:trHeight w:hRule="exact" w:val="29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8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78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738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body corporate shall be able and capable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to take and hold any property, movable or immovable,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348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230"/>
        <w:ind w:left="1438" w:right="42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grant, gift, testamentary disposition or otherwise and all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shall be held by the body corporate for the purpose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subject to the rules of the body corporate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section 7, with power to sell, mortgage, lease,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487"/>
        <w:gridCol w:w="3487"/>
        <w:gridCol w:w="3487"/>
      </w:tblGrid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38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52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 the moneys and property of the body corporate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 derived shall be applied solely towards the</w:t>
            </w:r>
          </w:p>
        </w:tc>
        <w:tc>
          <w:tcPr>
            <w:tcW w:type="dxa" w:w="348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0"/>
        <w:ind w:left="1438" w:right="42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 of the objects of the body corporate and no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portion thereof shall be paid or transferred directly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indirectly by way of dividend, bonus or profit or otherwise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howsoever to the members of the body corporate.</w:t>
      </w:r>
    </w:p>
    <w:p>
      <w:pPr>
        <w:autoSpaceDN w:val="0"/>
        <w:tabs>
          <w:tab w:pos="1678" w:val="left"/>
          <w:tab w:pos="2130" w:val="left"/>
          <w:tab w:pos="6496" w:val="left"/>
        </w:tabs>
        <w:autoSpaceDE w:val="0"/>
        <w:widowControl/>
        <w:spacing w:line="254" w:lineRule="auto" w:before="294" w:after="0"/>
        <w:ind w:left="1438" w:right="273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15.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The Seal of the  body corporate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Seal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affixed to any instrument whatsoever, except in the presence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corporate</w:t>
      </w:r>
    </w:p>
    <w:p>
      <w:pPr>
        <w:autoSpaceDN w:val="0"/>
        <w:autoSpaceDE w:val="0"/>
        <w:widowControl/>
        <w:spacing w:line="259" w:lineRule="auto" w:before="34" w:after="0"/>
        <w:ind w:left="1438" w:right="42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two members of the Committee who shall sign their names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instrument in token of their presence and such signing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be independent of the signing of any person as a witness.</w:t>
      </w:r>
    </w:p>
    <w:p>
      <w:pPr>
        <w:autoSpaceDN w:val="0"/>
        <w:autoSpaceDE w:val="0"/>
        <w:widowControl/>
        <w:spacing w:line="259" w:lineRule="auto" w:before="294" w:after="0"/>
        <w:ind w:left="1438" w:right="42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Committee as may be decided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Committee.</w:t>
      </w:r>
    </w:p>
    <w:p>
      <w:pPr>
        <w:sectPr>
          <w:pgSz w:w="11900" w:h="16840"/>
          <w:pgMar w:top="1440" w:right="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14" w:val="left"/>
          <w:tab w:pos="3402" w:val="left"/>
          <w:tab w:pos="4414" w:val="left"/>
        </w:tabs>
        <w:autoSpaceDE w:val="0"/>
        <w:widowControl/>
        <w:spacing w:line="245" w:lineRule="auto" w:before="0" w:after="242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Educational Daham Sabhawa (Incorporation) </w:t>
      </w:r>
      <w:r>
        <w:br/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35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upon the dissolution of the body corporate</w:t>
            </w:r>
          </w:p>
        </w:tc>
      </w:tr>
      <w:tr>
        <w:trPr>
          <w:trHeight w:hRule="exact" w:val="572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2" w:after="0"/>
              <w:ind w:left="2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 remains after the satisfaction of all its debts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any property whatsoever, such property shall not</w:t>
            </w:r>
          </w:p>
        </w:tc>
      </w:tr>
    </w:tbl>
    <w:p>
      <w:pPr>
        <w:autoSpaceDN w:val="0"/>
        <w:autoSpaceDE w:val="0"/>
        <w:widowControl/>
        <w:spacing w:line="286" w:lineRule="auto" w:before="2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distributed among the members of the body corporate,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shall be given or transferred to any other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having objects similar to those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and which is by the rules thereof,  prohibited from </w:t>
      </w:r>
      <w:r>
        <w:rPr>
          <w:rFonts w:ascii="Times" w:hAnsi="Times" w:eastAsia="Times"/>
          <w:b w:val="0"/>
          <w:i w:val="0"/>
          <w:color w:val="000000"/>
          <w:sz w:val="20"/>
        </w:rPr>
        <w:t>distributing any income or property among its members.</w:t>
      </w:r>
    </w:p>
    <w:p>
      <w:pPr>
        <w:autoSpaceDN w:val="0"/>
        <w:autoSpaceDE w:val="0"/>
        <w:widowControl/>
        <w:spacing w:line="290" w:lineRule="auto" w:before="340" w:after="28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 the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to which the property remains after the satisfaction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all the debts and liabilities of the body corporate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or transferred shall be determined by the members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with the approval of the Registrar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Social Services Organizations appointed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Social Services Organizations (Registration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Supervision) Act, No. 31 of 1980 immediately before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dissolution at a general meeting by the majority of votes of </w:t>
      </w:r>
      <w:r>
        <w:rPr>
          <w:rFonts w:ascii="Times" w:hAnsi="Times" w:eastAsia="Times"/>
          <w:b w:val="0"/>
          <w:i w:val="0"/>
          <w:color w:val="000000"/>
          <w:sz w:val="20"/>
        </w:rPr>
        <w:t>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  <w:p>
            <w:pPr>
              <w:autoSpaceDN w:val="0"/>
              <w:autoSpaceDE w:val="0"/>
              <w:widowControl/>
              <w:spacing w:line="235" w:lineRule="auto" w:before="600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2" w:after="0"/>
              <w:ind w:left="2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affect the rights of the Republic or of any body politic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</w:tr>
      <w:tr>
        <w:trPr>
          <w:trHeight w:hRule="exact" w:val="47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requires–</w:t>
            </w:r>
          </w:p>
        </w:tc>
      </w:tr>
    </w:tbl>
    <w:p>
      <w:pPr>
        <w:autoSpaceDN w:val="0"/>
        <w:tabs>
          <w:tab w:pos="3502" w:val="left"/>
        </w:tabs>
        <w:autoSpaceDE w:val="0"/>
        <w:widowControl/>
        <w:spacing w:line="266" w:lineRule="auto" w:before="282" w:after="0"/>
        <w:ind w:left="306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“Bank” means a licensed commercial bank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Banking Act, No. 30 of 1988;</w:t>
      </w:r>
    </w:p>
    <w:p>
      <w:pPr>
        <w:autoSpaceDN w:val="0"/>
        <w:autoSpaceDE w:val="0"/>
        <w:widowControl/>
        <w:spacing w:line="276" w:lineRule="auto" w:before="342" w:after="0"/>
        <w:ind w:left="3502" w:right="1436" w:hanging="4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“Kathikawatha of Dedigama Sri Maithri Pragnartha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thero” means a set of principals and disciplines </w:t>
      </w:r>
      <w:r>
        <w:rPr>
          <w:rFonts w:ascii="Times" w:hAnsi="Times" w:eastAsia="Times"/>
          <w:b w:val="0"/>
          <w:i w:val="0"/>
          <w:color w:val="000000"/>
          <w:sz w:val="20"/>
        </w:rPr>
        <w:t>preached by Venerable Sri Maithri Pragnartha thero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38" w:val="left"/>
          <w:tab w:pos="3050" w:val="left"/>
          <w:tab w:pos="6032" w:val="left"/>
        </w:tabs>
        <w:autoSpaceDE w:val="0"/>
        <w:widowControl/>
        <w:spacing w:line="245" w:lineRule="auto" w:before="0" w:after="0"/>
        <w:ind w:left="194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Dedigama Sri Maithri Pragnartha Bouddha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Educational Daham Sabhawa (Incorporation)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35 of 2024</w:t>
      </w:r>
    </w:p>
    <w:p>
      <w:pPr>
        <w:autoSpaceDN w:val="0"/>
        <w:autoSpaceDE w:val="0"/>
        <w:widowControl/>
        <w:spacing w:line="235" w:lineRule="auto" w:before="32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the Buddhist adherence attached to the</w:t>
      </w:r>
    </w:p>
    <w:p>
      <w:pPr>
        <w:autoSpaceDN w:val="0"/>
        <w:autoSpaceDE w:val="0"/>
        <w:widowControl/>
        <w:spacing w:line="259" w:lineRule="auto" w:before="58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Sri Maithri Pragnartha Bouddha Educational Daham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Sabhawa in order to lead them for a disciplined life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ultimate goal of attaining the supreme bliss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Nirvana, based on Dhamma preaching’s of Lord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Buddha;</w:t>
      </w:r>
    </w:p>
    <w:p>
      <w:pPr>
        <w:autoSpaceDN w:val="0"/>
        <w:autoSpaceDE w:val="0"/>
        <w:widowControl/>
        <w:spacing w:line="257" w:lineRule="auto" w:before="276" w:after="0"/>
        <w:ind w:left="2158" w:right="2782" w:hanging="4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“Local Authority” means a Municipal Council, Urban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or a Pradeshiya Sabha and any authority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created or established by or under any law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powers, duties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corresponding or similar to the powers,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and functions exercised, performed and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discharged by any such Council or Sabha;</w:t>
      </w:r>
    </w:p>
    <w:p>
      <w:pPr>
        <w:autoSpaceDN w:val="0"/>
        <w:autoSpaceDE w:val="0"/>
        <w:widowControl/>
        <w:spacing w:line="247" w:lineRule="auto" w:before="240" w:after="0"/>
        <w:ind w:left="2158" w:right="2782" w:hanging="4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corporation” means any Corporation, board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body which was or is established by or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 written law other than the Companies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07 of 2007, with funds or capital wholly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partly provided by the Government by way of grant, </w:t>
      </w:r>
      <w:r>
        <w:rPr>
          <w:rFonts w:ascii="Times" w:hAnsi="Times" w:eastAsia="Times"/>
          <w:b w:val="0"/>
          <w:i w:val="0"/>
          <w:color w:val="000000"/>
          <w:sz w:val="20"/>
        </w:rPr>
        <w:t>loan or otherwise; and</w:t>
      </w:r>
    </w:p>
    <w:p>
      <w:pPr>
        <w:autoSpaceDN w:val="0"/>
        <w:autoSpaceDE w:val="0"/>
        <w:widowControl/>
        <w:spacing w:line="254" w:lineRule="auto" w:before="264" w:after="206"/>
        <w:ind w:left="2158" w:right="2782" w:hanging="4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“written law” means any  law and subordinate legislation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statutes made by a Provincial Council,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Orders, Proclamations, Rules, By-Laws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 made or issued by any body or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power or authority under any law to make </w:t>
      </w:r>
      <w:r>
        <w:rPr>
          <w:rFonts w:ascii="Times" w:hAnsi="Times" w:eastAsia="Times"/>
          <w:b w:val="0"/>
          <w:i w:val="0"/>
          <w:color w:val="000000"/>
          <w:sz w:val="20"/>
        </w:rPr>
        <w:t>or issue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46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2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Dedigama Sri Maithri Pragnartha Bouddha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312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Educational Daham Sabhawa (Incorporation)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35 of 2024</w:t>
      </w:r>
    </w:p>
    <w:p>
      <w:pPr>
        <w:autoSpaceDN w:val="0"/>
        <w:autoSpaceDE w:val="0"/>
        <w:widowControl/>
        <w:spacing w:line="245" w:lineRule="auto" w:before="8524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