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8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SAMADHI MEDITATION AND YOGA CENTRE</w:t>
      </w:r>
    </w:p>
    <w:p>
      <w:pPr>
        <w:autoSpaceDN w:val="0"/>
        <w:autoSpaceDE w:val="0"/>
        <w:widowControl/>
        <w:spacing w:line="238" w:lineRule="auto" w:before="14" w:after="0"/>
        <w:ind w:left="0" w:right="200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No. 41 OF 2024</w:t>
      </w:r>
    </w:p>
    <w:p>
      <w:pPr>
        <w:autoSpaceDN w:val="0"/>
        <w:autoSpaceDE w:val="0"/>
        <w:widowControl/>
        <w:spacing w:line="235" w:lineRule="auto" w:before="950" w:after="0"/>
        <w:ind w:left="0" w:right="31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26</w:t>
      </w:r>
      <w:r>
        <w:rPr>
          <w:w w:val="96.66666984558105"/>
          <w:rFonts w:ascii="Times,Bold" w:hAnsi="Times,Bold" w:eastAsia="Times,Bold"/>
          <w:b/>
          <w:i w:val="0"/>
          <w:color w:val="221F1F"/>
          <w:sz w:val="12"/>
        </w:rPr>
        <w:t>th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of  July,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35" w:lineRule="auto" w:before="24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26</w:t>
      </w:r>
      <w:r>
        <w:rPr>
          <w:w w:val="96.66666984558105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July, 2024]</w:t>
      </w:r>
    </w:p>
    <w:p>
      <w:pPr>
        <w:autoSpaceDN w:val="0"/>
        <w:autoSpaceDE w:val="0"/>
        <w:widowControl/>
        <w:spacing w:line="235" w:lineRule="auto" w:before="30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5/2021</w:t>
      </w:r>
    </w:p>
    <w:p>
      <w:pPr>
        <w:autoSpaceDN w:val="0"/>
        <w:autoSpaceDE w:val="0"/>
        <w:widowControl/>
        <w:spacing w:line="257" w:lineRule="auto" w:before="302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EDITATION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OGA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</w:p>
    <w:p>
      <w:pPr>
        <w:autoSpaceDN w:val="0"/>
        <w:tabs>
          <w:tab w:pos="6496" w:val="left"/>
        </w:tabs>
        <w:autoSpaceDE w:val="0"/>
        <w:widowControl/>
        <w:spacing w:line="266" w:lineRule="auto" w:before="302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“Samadhi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Meditation and Yoga Centre” has heretofore been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  Sri Lanka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Centre according to the rules agreed to by its members :</w:t>
      </w:r>
    </w:p>
    <w:p>
      <w:pPr>
        <w:autoSpaceDN w:val="0"/>
        <w:autoSpaceDE w:val="0"/>
        <w:widowControl/>
        <w:spacing w:line="266" w:lineRule="auto" w:before="30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the said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7" w:lineRule="auto" w:before="30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57" w:lineRule="auto" w:before="302" w:after="242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Samadhi Meditation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Yoga Centre (Incorporation) Act, No. 41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“Samadhi Meditation and Yoga Centre” (hereinafter referred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Samadhi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Meditation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Yoga Centre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as the “Centre”) and shall hereafter be admitted as members</w:t>
      </w:r>
    </w:p>
    <w:p>
      <w:pPr>
        <w:autoSpaceDN w:val="0"/>
        <w:autoSpaceDE w:val="0"/>
        <w:widowControl/>
        <w:spacing w:line="269" w:lineRule="auto" w:before="6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hereby constituted,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the “Samadhi </w:t>
      </w:r>
      <w:r>
        <w:rPr>
          <w:rFonts w:ascii="Times" w:hAnsi="Times" w:eastAsia="Times"/>
          <w:b w:val="0"/>
          <w:i w:val="0"/>
          <w:color w:val="221F1F"/>
          <w:sz w:val="20"/>
        </w:rPr>
        <w:t>Meditation and Yoga Centre”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corporate”), and by that name may sue and be 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full power and authority to have, and use a common seal </w:t>
      </w: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2" w:val="left"/>
          <w:tab w:pos="375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62" w:lineRule="auto" w:before="242" w:after="18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52" w:lineRule="auto" w:before="94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: —</w:t>
            </w:r>
          </w:p>
        </w:tc>
      </w:tr>
    </w:tbl>
    <w:p>
      <w:pPr>
        <w:autoSpaceDN w:val="0"/>
        <w:autoSpaceDE w:val="0"/>
        <w:widowControl/>
        <w:spacing w:line="252" w:lineRule="auto" w:before="218" w:after="0"/>
        <w:ind w:left="3522" w:right="129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seminars and programmes to improve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awareness of general public in Meditation and Yoga;</w:t>
      </w:r>
    </w:p>
    <w:p>
      <w:pPr>
        <w:autoSpaceDN w:val="0"/>
        <w:autoSpaceDE w:val="0"/>
        <w:widowControl/>
        <w:spacing w:line="257" w:lineRule="auto" w:before="278" w:after="0"/>
        <w:ind w:left="352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with the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authorities to promote Buddhist culture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and outside Sri Lanka 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82" w:after="0"/>
        <w:ind w:left="3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with the institutions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those of the body corporate ; and</w:t>
      </w:r>
    </w:p>
    <w:p>
      <w:pPr>
        <w:autoSpaceDN w:val="0"/>
        <w:autoSpaceDE w:val="0"/>
        <w:widowControl/>
        <w:spacing w:line="250" w:lineRule="auto" w:before="282" w:after="0"/>
        <w:ind w:left="3522" w:right="129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branches of the body corporate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to fulfill the objectives of the body corporate;</w:t>
      </w:r>
    </w:p>
    <w:p>
      <w:pPr>
        <w:autoSpaceDN w:val="0"/>
        <w:autoSpaceDE w:val="0"/>
        <w:widowControl/>
        <w:spacing w:line="250" w:lineRule="auto" w:before="28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applicable written law,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law.</w:t>
      </w:r>
    </w:p>
    <w:p>
      <w:pPr>
        <w:autoSpaceDN w:val="0"/>
        <w:autoSpaceDE w:val="0"/>
        <w:widowControl/>
        <w:spacing w:line="259" w:lineRule="auto" w:before="282" w:after="22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2.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language, caste, sex, political opinion, place </w:t>
      </w:r>
      <w:r>
        <w:rPr>
          <w:rFonts w:ascii="Times" w:hAnsi="Times" w:eastAsia="Times"/>
          <w:b w:val="0"/>
          <w:i w:val="0"/>
          <w:color w:val="221F1F"/>
          <w:sz w:val="20"/>
        </w:rPr>
        <w:t>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</w:tr>
      <w:tr>
        <w:trPr>
          <w:trHeight w:hRule="exact" w:val="10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142" w:right="6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manner so as not to create any conflict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 of the body corporate and any work being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54" w:lineRule="auto" w:before="0" w:after="186"/>
        <w:ind w:left="22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 and the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affairs of the body corporate shall be carried out by 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Management (hereinafter referred to as “the Board”)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64" w:lineRule="auto" w:before="2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2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the centre holding office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Act, shall subject to the 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function as the Interim Board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Board is appointed or elected in the manner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by rules made under section 7.</w:t>
      </w:r>
    </w:p>
    <w:p>
      <w:pPr>
        <w:autoSpaceDN w:val="0"/>
        <w:autoSpaceDE w:val="0"/>
        <w:widowControl/>
        <w:spacing w:line="262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the power to make rules for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or any other written law.</w:t>
      </w:r>
    </w:p>
    <w:p>
      <w:pPr>
        <w:autoSpaceDN w:val="0"/>
        <w:tabs>
          <w:tab w:pos="1678" w:val="left"/>
        </w:tabs>
        <w:autoSpaceDE w:val="0"/>
        <w:widowControl/>
        <w:spacing w:line="254" w:lineRule="auto" w:before="28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present.</w:t>
      </w:r>
    </w:p>
    <w:p>
      <w:pPr>
        <w:autoSpaceDN w:val="0"/>
        <w:autoSpaceDE w:val="0"/>
        <w:widowControl/>
        <w:spacing w:line="259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62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2" w:lineRule="auto" w:before="290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2" w:val="left"/>
          <w:tab w:pos="375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52" w:lineRule="auto" w:before="238" w:after="208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elected or appointed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hold office only for the unexpired portion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term 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or any one of them, including the power:-</w:t>
      </w:r>
    </w:p>
    <w:p>
      <w:pPr>
        <w:autoSpaceDN w:val="0"/>
        <w:autoSpaceDE w:val="0"/>
        <w:widowControl/>
        <w:spacing w:line="254" w:lineRule="auto" w:before="268" w:after="0"/>
        <w:ind w:left="340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rent, construct, renovate and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and to deal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dispose of the same as detemined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;</w:t>
      </w:r>
    </w:p>
    <w:p>
      <w:pPr>
        <w:autoSpaceDN w:val="0"/>
        <w:autoSpaceDE w:val="0"/>
        <w:widowControl/>
        <w:spacing w:line="254" w:lineRule="auto" w:before="266" w:after="0"/>
        <w:ind w:left="340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and perform or carry out, whether 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or the exercise of the powers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52" w:lineRule="auto" w:before="270" w:after="0"/>
        <w:ind w:left="3402" w:right="14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in cash or  kind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attainment of the objects of the body corporate:</w:t>
      </w:r>
    </w:p>
    <w:p>
      <w:pPr>
        <w:autoSpaceDN w:val="0"/>
        <w:autoSpaceDE w:val="0"/>
        <w:widowControl/>
        <w:spacing w:line="252" w:lineRule="auto" w:before="270" w:after="0"/>
        <w:ind w:left="3402" w:right="1418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autoSpaceDE w:val="0"/>
        <w:widowControl/>
        <w:spacing w:line="247" w:lineRule="auto" w:before="270" w:after="0"/>
        <w:ind w:left="340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2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0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45" w:lineRule="auto" w:before="224" w:after="0"/>
        <w:ind w:left="205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the Board may determine;</w:t>
      </w:r>
    </w:p>
    <w:p>
      <w:pPr>
        <w:autoSpaceDN w:val="0"/>
        <w:autoSpaceDE w:val="0"/>
        <w:widowControl/>
        <w:spacing w:line="245" w:lineRule="auto" w:before="230" w:after="0"/>
        <w:ind w:left="2056" w:right="276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having objects similar to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any real or personal property with a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promoting the objects of the body corporate;</w:t>
      </w:r>
    </w:p>
    <w:p>
      <w:pPr>
        <w:autoSpaceDN w:val="0"/>
        <w:autoSpaceDE w:val="0"/>
        <w:widowControl/>
        <w:spacing w:line="245" w:lineRule="auto" w:before="230" w:after="0"/>
        <w:ind w:left="2056" w:right="2762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body corporate in terms of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 of the Act ;</w:t>
      </w:r>
    </w:p>
    <w:p>
      <w:pPr>
        <w:autoSpaceDN w:val="0"/>
        <w:autoSpaceDE w:val="0"/>
        <w:widowControl/>
        <w:spacing w:line="245" w:lineRule="auto" w:before="230" w:after="0"/>
        <w:ind w:left="20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lectures, seminars and conferences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45" w:lineRule="auto" w:before="230" w:after="0"/>
        <w:ind w:left="205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3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 ; and</w:t>
      </w:r>
    </w:p>
    <w:p>
      <w:pPr>
        <w:autoSpaceDN w:val="0"/>
        <w:autoSpaceDE w:val="0"/>
        <w:widowControl/>
        <w:spacing w:line="245" w:lineRule="auto" w:before="230" w:after="170"/>
        <w:ind w:left="205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to do all such acts and things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for the achievement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 :—</w:t>
      </w:r>
    </w:p>
    <w:p>
      <w:pPr>
        <w:autoSpaceDN w:val="0"/>
        <w:autoSpaceDE w:val="0"/>
        <w:widowControl/>
        <w:spacing w:line="250" w:lineRule="auto" w:before="242" w:after="0"/>
        <w:ind w:left="20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and </w:t>
      </w:r>
      <w:r>
        <w:rPr>
          <w:rFonts w:ascii="Times" w:hAnsi="Times" w:eastAsia="Times"/>
          <w:b w:val="0"/>
          <w:i w:val="0"/>
          <w:color w:val="221F1F"/>
          <w:sz w:val="20"/>
        </w:rPr>
        <w:t>fees payable by members;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2" w:val="left"/>
          <w:tab w:pos="375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54" w:lineRule="auto" w:before="24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 ;</w:t>
      </w:r>
    </w:p>
    <w:p>
      <w:pPr>
        <w:autoSpaceDN w:val="0"/>
        <w:autoSpaceDE w:val="0"/>
        <w:widowControl/>
        <w:spacing w:line="254" w:lineRule="auto" w:before="276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  and </w:t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 ;</w:t>
      </w:r>
    </w:p>
    <w:p>
      <w:pPr>
        <w:autoSpaceDN w:val="0"/>
        <w:autoSpaceDE w:val="0"/>
        <w:widowControl/>
        <w:spacing w:line="257" w:lineRule="auto" w:before="27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body corporate 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 notices and agenda of such meetings, the </w:t>
      </w:r>
      <w:r>
        <w:rPr>
          <w:rFonts w:ascii="Times" w:hAnsi="Times" w:eastAsia="Times"/>
          <w:b w:val="0"/>
          <w:i w:val="0"/>
          <w:color w:val="221F1F"/>
          <w:sz w:val="20"/>
        </w:rPr>
        <w:t>quorum and the conduct of business thereat;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qualifications and disqualifications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 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0"/>
        <w:ind w:left="30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 and</w:t>
      </w:r>
    </w:p>
    <w:p>
      <w:pPr>
        <w:autoSpaceDN w:val="0"/>
        <w:autoSpaceDE w:val="0"/>
        <w:widowControl/>
        <w:spacing w:line="254" w:lineRule="auto" w:before="27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the management of the affairs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its'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autoSpaceDE w:val="0"/>
        <w:widowControl/>
        <w:spacing w:line="26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disapproval, but without prejudice to anything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54" w:lineRule="auto" w:before="0" w:after="0"/>
        <w:ind w:left="22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59" w:lineRule="auto" w:before="2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678" w:val="left"/>
        </w:tabs>
        <w:autoSpaceDE w:val="0"/>
        <w:widowControl/>
        <w:spacing w:line="254" w:lineRule="auto" w:before="29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66" w:lineRule="auto" w:before="298" w:after="0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Board shall maintain a register of members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name, address and other essential details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members</w:t>
      </w:r>
    </w:p>
    <w:p>
      <w:pPr>
        <w:autoSpaceDN w:val="0"/>
        <w:autoSpaceDE w:val="0"/>
        <w:widowControl/>
        <w:spacing w:line="235" w:lineRule="auto" w:before="54" w:after="27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body corporate shall have its own Fund.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3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35" w:lineRule="auto" w:before="13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moneys received by way of gift, bequest, donation,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subscription, contribution, fees or grants for and on account</w:t>
      </w:r>
    </w:p>
    <w:p>
      <w:pPr>
        <w:autoSpaceDN w:val="0"/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 shall be desposited in one or more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banks approved by the Board to the credit of the body</w:t>
      </w:r>
    </w:p>
    <w:p>
      <w:pPr>
        <w:autoSpaceDN w:val="0"/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corporate subject to the provisions of section 6(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35" w:lineRule="auto" w:before="33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Fund, all sums of money</w:t>
      </w:r>
    </w:p>
    <w:p>
      <w:pPr>
        <w:autoSpaceDN w:val="0"/>
        <w:autoSpaceDE w:val="0"/>
        <w:widowControl/>
        <w:spacing w:line="238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are required to defray any expenditure incurred by the</w:t>
      </w:r>
    </w:p>
    <w:p>
      <w:pPr>
        <w:autoSpaceDN w:val="0"/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body corporate in the exercise, performance and discharge of</w:t>
      </w:r>
    </w:p>
    <w:p>
      <w:pPr>
        <w:autoSpaceDN w:val="0"/>
        <w:autoSpaceDE w:val="0"/>
        <w:widowControl/>
        <w:spacing w:line="238" w:lineRule="auto" w:before="68" w:after="28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its power,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47" w:lineRule="auto" w:before="26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a qualified auditor and be certified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2" w:val="left"/>
          <w:tab w:pos="375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3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 ; or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an Accountant issued by the Council of such</w:t>
      </w:r>
    </w:p>
    <w:p>
      <w:pPr>
        <w:autoSpaceDN w:val="0"/>
        <w:autoSpaceDE w:val="0"/>
        <w:widowControl/>
        <w:spacing w:line="235" w:lineRule="auto" w:before="54" w:after="214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auditor, to the Secretary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Health and to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Organizations (Registration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Supervision) Act, No. 31 of 1980 before the expiration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52" w:lineRule="auto" w:before="26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Centre  existing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 payable to the Board on that day shall be paid </w:t>
      </w:r>
      <w:r>
        <w:rPr>
          <w:rFonts w:ascii="Times" w:hAnsi="Times" w:eastAsia="Times"/>
          <w:b w:val="0"/>
          <w:i w:val="0"/>
          <w:color w:val="221F1F"/>
          <w:sz w:val="20"/>
        </w:rPr>
        <w:t>to the body 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54" w:lineRule="auto" w:before="0" w:after="190"/>
        <w:ind w:left="22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to take and hold any property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4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64" w:lineRule="auto" w:before="306" w:after="24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2" w:val="left"/>
          <w:tab w:pos="375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47" w:lineRule="auto" w:before="23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 subsection (1),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19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 body politic or corporate.</w:t>
            </w:r>
          </w:p>
          <w:p>
            <w:pPr>
              <w:autoSpaceDN w:val="0"/>
              <w:autoSpaceDE w:val="0"/>
              <w:widowControl/>
              <w:spacing w:line="238" w:lineRule="auto" w:before="270" w:after="0"/>
              <w:ind w:left="4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 :-</w:t>
            </w:r>
          </w:p>
        </w:tc>
      </w:tr>
    </w:tbl>
    <w:p>
      <w:pPr>
        <w:autoSpaceDN w:val="0"/>
        <w:tabs>
          <w:tab w:pos="4222" w:val="left"/>
        </w:tabs>
        <w:autoSpaceDE w:val="0"/>
        <w:widowControl/>
        <w:spacing w:line="250" w:lineRule="auto" w:before="216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“bank” means a bank licensed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Banking Act, No. 30 of 1988 ;</w:t>
      </w:r>
    </w:p>
    <w:p>
      <w:pPr>
        <w:autoSpaceDN w:val="0"/>
        <w:autoSpaceDE w:val="0"/>
        <w:widowControl/>
        <w:spacing w:line="257" w:lineRule="auto" w:before="276" w:after="0"/>
        <w:ind w:left="4222" w:right="1436" w:hanging="6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“law” shall have the same meaning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expression in the Constitution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Republic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p>
      <w:pPr>
        <w:autoSpaceDN w:val="0"/>
        <w:autoSpaceDE w:val="0"/>
        <w:widowControl/>
        <w:spacing w:line="250" w:lineRule="auto" w:before="276" w:after="12"/>
        <w:ind w:left="4222" w:right="1296" w:hanging="6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 law” means any law and subordinate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legislation including statutes made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Provincial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Orders,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Proclamations, Rules, By-laws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or issued by any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person having power or authority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law to make or issue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0" w:lineRule="auto" w:before="62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3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41 of 2024</w:t>
      </w:r>
    </w:p>
    <w:p>
      <w:pPr>
        <w:autoSpaceDN w:val="0"/>
        <w:autoSpaceDE w:val="0"/>
        <w:widowControl/>
        <w:spacing w:line="245" w:lineRule="auto" w:before="882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