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54" w:after="0"/>
        <w:ind w:left="0" w:right="292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</w:t>
      </w:r>
    </w:p>
    <w:p>
      <w:pPr>
        <w:autoSpaceDN w:val="0"/>
        <w:autoSpaceDE w:val="0"/>
        <w:widowControl/>
        <w:spacing w:line="238" w:lineRule="auto" w:before="32" w:after="0"/>
        <w:ind w:left="0" w:right="22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 ACT, No. 43 OF 2024</w:t>
      </w:r>
    </w:p>
    <w:p>
      <w:pPr>
        <w:autoSpaceDN w:val="0"/>
        <w:autoSpaceDE w:val="0"/>
        <w:widowControl/>
        <w:spacing w:line="235" w:lineRule="auto" w:before="918" w:after="0"/>
        <w:ind w:left="0" w:right="29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02nd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Rs.30.00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4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596" w:val="left"/>
          <w:tab w:pos="2366" w:val="left"/>
          <w:tab w:pos="3022" w:val="left"/>
        </w:tabs>
        <w:autoSpaceDE w:val="0"/>
        <w:widowControl/>
        <w:spacing w:line="430" w:lineRule="auto" w:before="2" w:after="0"/>
        <w:ind w:left="1436" w:right="2880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Act, No. 43 of 2024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02nd of August, 2024]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72/2021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305" w:lineRule="auto" w:before="244" w:after="184"/>
        <w:ind w:left="1438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Civil Procedure Code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43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 of the Civil Procedure Code (Chapter 101)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the definition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</w:tc>
      </w:tr>
    </w:tbl>
    <w:p>
      <w:pPr>
        <w:autoSpaceDN w:val="0"/>
        <w:autoSpaceDE w:val="0"/>
        <w:widowControl/>
        <w:spacing w:line="305" w:lineRule="auto" w:before="4" w:after="182"/>
        <w:ind w:left="1296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expression “decree”, of the following new definition:-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““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electronic” shall have the same meaning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by the Electronic Transactions Act, No.19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2006;”.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new paragraph: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80" w:after="182"/>
        <w:ind w:left="19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party plaintiff or a party defendant resides;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27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  <w:p>
            <w:pPr>
              <w:autoSpaceDN w:val="0"/>
              <w:autoSpaceDE w:val="0"/>
              <w:widowControl/>
              <w:spacing w:line="238" w:lineRule="auto" w:before="242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27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4" w:lineRule="auto" w:before="186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by the substitution,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“party whom he represents; and”,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“party whom he represents;”; and</w:t>
      </w:r>
    </w:p>
    <w:p>
      <w:pPr>
        <w:autoSpaceDN w:val="0"/>
        <w:autoSpaceDE w:val="0"/>
        <w:widowControl/>
        <w:spacing w:line="259" w:lineRule="auto" w:before="286" w:after="0"/>
        <w:ind w:left="26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 of the following new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71" w:lineRule="auto" w:before="264" w:after="0"/>
        <w:ind w:left="4002" w:right="1418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include an electronic mail address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mobile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phone number to which service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process, notice or any other legal 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also be served on a registered attorney;</w:t>
      </w:r>
    </w:p>
    <w:p>
      <w:pPr>
        <w:autoSpaceDN w:val="0"/>
        <w:autoSpaceDE w:val="0"/>
        <w:widowControl/>
        <w:spacing w:line="278" w:lineRule="auto" w:before="314" w:after="0"/>
        <w:ind w:left="4002" w:right="14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contain a memorandum substantially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First Schedule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duplicate setting out the address, mobile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phone number and the electronic mail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address, if any, of such party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as the registered address,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mobile phone number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electronic mail address,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 of such party.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shall with such memorandum tender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Registrar stamps to the value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cover cost of service of such notices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document by registered post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registered attorney shall bear the cost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service through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means;”;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312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(2)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new subsection:-</w:t>
      </w:r>
    </w:p>
    <w:p>
      <w:pPr>
        <w:autoSpaceDN w:val="0"/>
        <w:autoSpaceDE w:val="0"/>
        <w:widowControl/>
        <w:spacing w:line="269" w:lineRule="auto" w:before="314" w:after="0"/>
        <w:ind w:left="352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party is represented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attorney, such attorney shall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appointment, state the national identity card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number, passport number or any other mode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identification, as the case may be, of the party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also make an endorsement thereon certifying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identity of such party. Where the party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a body corporate the appointment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under the seal of such company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 as the case may be.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136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71" w:lineRule="auto" w:before="272" w:after="0"/>
        <w:ind w:left="211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a person who resides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is unable to meet his registered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sign the appointment under subsection (1),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shall be signed in the presence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following authorized persons who shall certify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identity of such person: -</w:t>
      </w:r>
    </w:p>
    <w:p>
      <w:pPr>
        <w:autoSpaceDN w:val="0"/>
        <w:tabs>
          <w:tab w:pos="2776" w:val="left"/>
        </w:tabs>
        <w:autoSpaceDE w:val="0"/>
        <w:widowControl/>
        <w:spacing w:line="266" w:lineRule="auto" w:before="308" w:after="0"/>
        <w:ind w:left="24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Attorney-at-Law, a solicitor, a lawyer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Notary of the country where such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resides; or</w:t>
      </w:r>
    </w:p>
    <w:p>
      <w:pPr>
        <w:autoSpaceDN w:val="0"/>
        <w:tabs>
          <w:tab w:pos="2776" w:val="left"/>
        </w:tabs>
        <w:autoSpaceDE w:val="0"/>
        <w:widowControl/>
        <w:spacing w:line="271" w:lineRule="auto" w:before="308" w:after="0"/>
        <w:ind w:left="23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Commissioner, the Ambassador,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diplomatic officer or a consular officer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Sri Lankan High Commission, Embassy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Consular Office in the country in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party resides.</w:t>
      </w:r>
    </w:p>
    <w:p>
      <w:pPr>
        <w:autoSpaceDN w:val="0"/>
        <w:autoSpaceDE w:val="0"/>
        <w:widowControl/>
        <w:spacing w:line="271" w:lineRule="auto" w:before="308" w:after="250"/>
        <w:ind w:left="217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any delay or any difficulty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produce the original of the appointment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specified time, a copy of the original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form may be produced in court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production of the original of such appointment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a reasonable time as the court may direct.”.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of that section,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 subsections: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55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4" w:lineRule="auto" w:before="208" w:after="0"/>
        <w:ind w:left="187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“(2)(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party to an action, not appearing by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attorney, shall on or before the date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summons deliver to the Registrar a memorandum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substantially in the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First Schedule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duplicate setting out the address, mobile phone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and the electronic mail address if any,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considered as the registered address,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88" w:lineRule="auto" w:before="272" w:after="0"/>
        <w:ind w:left="32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mobile phone number and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mail address respectively of such party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 of the notices or any other legal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be served on such party under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Code unless otherwise provided. Every party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inform the Registrar forthwith of any change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address, the mobile phone number or the electronic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mail address.</w:t>
      </w:r>
    </w:p>
    <w:p>
      <w:pPr>
        <w:autoSpaceDN w:val="0"/>
        <w:autoSpaceDE w:val="0"/>
        <w:widowControl/>
        <w:spacing w:line="283" w:lineRule="auto" w:before="336" w:after="0"/>
        <w:ind w:left="320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party shall with such memorandum tender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Registrar stamps to the value required to cover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service of such notices or other legal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registered post. He shall bear the cost of courier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or service through electronic means.</w:t>
      </w:r>
    </w:p>
    <w:p>
      <w:pPr>
        <w:autoSpaceDN w:val="0"/>
        <w:autoSpaceDE w:val="0"/>
        <w:widowControl/>
        <w:spacing w:line="288" w:lineRule="auto" w:before="336" w:after="0"/>
        <w:ind w:left="320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party appears by a registered attorney,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address, the mobile phone number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mail address of the registered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his appointment under section 27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registered address,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mobile phone number and the registered electronic mail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such Attorney-at-Law so long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appointment is in force.</w:t>
      </w:r>
    </w:p>
    <w:p>
      <w:pPr>
        <w:autoSpaceDN w:val="0"/>
        <w:autoSpaceDE w:val="0"/>
        <w:widowControl/>
        <w:spacing w:line="281" w:lineRule="auto" w:before="338" w:after="0"/>
        <w:ind w:left="320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notice or other legal document required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served on any party shall be deemed sufficient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 if served by registered post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 electronic means-</w:t>
      </w:r>
    </w:p>
    <w:p>
      <w:pPr>
        <w:autoSpaceDN w:val="0"/>
        <w:tabs>
          <w:tab w:pos="3984" w:val="left"/>
        </w:tabs>
        <w:autoSpaceDE w:val="0"/>
        <w:widowControl/>
        <w:spacing w:line="281" w:lineRule="auto" w:before="336" w:after="0"/>
        <w:ind w:left="36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party on the registered address,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mobile phone number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electronic mail address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party;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136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tabs>
          <w:tab w:pos="2656" w:val="left"/>
        </w:tabs>
        <w:autoSpaceDE w:val="0"/>
        <w:widowControl/>
        <w:spacing w:line="266" w:lineRule="auto" w:before="280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registered attorney, where a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by a registered attorney and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in force, on the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address, the registered mobile phone number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registered electronic mail address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registered attorney.</w:t>
      </w:r>
    </w:p>
    <w:p>
      <w:pPr>
        <w:autoSpaceDN w:val="0"/>
        <w:autoSpaceDE w:val="0"/>
        <w:widowControl/>
        <w:spacing w:line="264" w:lineRule="auto" w:before="288" w:after="228"/>
        <w:ind w:left="187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Registrar shall file one copy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memorandum substantially in the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to him as part of the record of the case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 and maintain the other copy by way of a separate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ledger.”.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59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0"/>
        <w:ind w:left="0" w:right="1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3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“Service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summons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56" w:right="129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Summons shall ordinarily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by the process server, registered post or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courier service.</w:t>
      </w:r>
    </w:p>
    <w:p>
      <w:pPr>
        <w:autoSpaceDN w:val="0"/>
        <w:autoSpaceDE w:val="0"/>
        <w:widowControl/>
        <w:spacing w:line="262" w:lineRule="auto" w:before="288" w:after="0"/>
        <w:ind w:left="253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plaintiff wishes summons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be served through electronic mail,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documents shall be submitted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plaintiff to the relevant court in electronic form.</w:t>
      </w:r>
    </w:p>
    <w:p>
      <w:pPr>
        <w:autoSpaceDN w:val="0"/>
        <w:autoSpaceDE w:val="0"/>
        <w:widowControl/>
        <w:spacing w:line="264" w:lineRule="auto" w:before="290" w:after="0"/>
        <w:ind w:left="253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company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summons may be delivered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server, registered post, courier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electronic mail if any to the registered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the principal place of business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or body corporate.</w:t>
      </w:r>
    </w:p>
    <w:p>
      <w:pPr>
        <w:autoSpaceDN w:val="0"/>
        <w:autoSpaceDE w:val="0"/>
        <w:widowControl/>
        <w:spacing w:line="254" w:lineRule="auto" w:before="288" w:after="0"/>
        <w:ind w:left="25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defendant is a public officer,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court may send summons by the process</w:t>
      </w:r>
    </w:p>
    <w:p>
      <w:pPr>
        <w:autoSpaceDN w:val="0"/>
        <w:autoSpaceDE w:val="0"/>
        <w:widowControl/>
        <w:spacing w:line="238" w:lineRule="auto" w:before="5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server, registered post or</w:t>
      </w:r>
      <w:r>
        <w:rPr>
          <w:rFonts w:ascii="Times" w:hAnsi="Times" w:eastAsia="Times"/>
          <w:b w:val="0"/>
          <w:i w:val="0"/>
          <w:color w:val="221F1F"/>
          <w:sz w:val="20"/>
        </w:rPr>
        <w:t>courier service to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76" w:lineRule="auto" w:before="270" w:after="0"/>
        <w:ind w:left="388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in which the defendant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employed, and it shall be the duty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department to cause the summons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served personally on the defendant.</w:t>
      </w:r>
    </w:p>
    <w:p>
      <w:pPr>
        <w:autoSpaceDN w:val="0"/>
        <w:autoSpaceDE w:val="0"/>
        <w:widowControl/>
        <w:spacing w:line="283" w:lineRule="auto" w:before="326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court 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defendant is in the employment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person, the court may send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by the process server, registered post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courier service to the employer at his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business or, where the employer is a company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body corporate, to any secretary, manager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like officer of the company or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it shall be the duty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employer or officer, as the case may be, to cause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to be served personally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defendant.</w:t>
      </w:r>
    </w:p>
    <w:p>
      <w:pPr>
        <w:autoSpaceDN w:val="0"/>
        <w:autoSpaceDE w:val="0"/>
        <w:widowControl/>
        <w:spacing w:line="278" w:lineRule="auto" w:before="326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defendant appears in court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summons being served on him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referred to above, he shall produce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identity card or passport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mode of identification as the court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deem fit.</w:t>
      </w:r>
    </w:p>
    <w:p>
      <w:pPr>
        <w:autoSpaceDN w:val="0"/>
        <w:autoSpaceDE w:val="0"/>
        <w:widowControl/>
        <w:spacing w:line="235" w:lineRule="auto" w:before="326" w:after="0"/>
        <w:ind w:left="0" w:right="34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In this section-</w:t>
      </w:r>
    </w:p>
    <w:p>
      <w:pPr>
        <w:autoSpaceDN w:val="0"/>
        <w:autoSpaceDE w:val="0"/>
        <w:widowControl/>
        <w:spacing w:line="235" w:lineRule="auto" w:before="326" w:after="0"/>
        <w:ind w:left="0" w:right="27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head of department ”-</w:t>
      </w:r>
    </w:p>
    <w:p>
      <w:pPr>
        <w:autoSpaceDN w:val="0"/>
        <w:tabs>
          <w:tab w:pos="5022" w:val="left"/>
        </w:tabs>
        <w:autoSpaceDE w:val="0"/>
        <w:widowControl/>
        <w:spacing w:line="278" w:lineRule="auto" w:before="326" w:after="0"/>
        <w:ind w:left="46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used with reference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any unit of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Army, Navy or Air Force,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Commanding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unit;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136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tabs>
          <w:tab w:pos="3658" w:val="left"/>
        </w:tabs>
        <w:autoSpaceDE w:val="0"/>
        <w:widowControl/>
        <w:spacing w:line="262" w:lineRule="auto" w:before="278" w:after="0"/>
        <w:ind w:left="32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used with reference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employed in a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where the local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a Municipal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means the Municipal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that Council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local authority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Urban Council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Pradeshiya Sabha, means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the Secretary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or Sabha;</w:t>
      </w:r>
    </w:p>
    <w:p>
      <w:pPr>
        <w:autoSpaceDN w:val="0"/>
        <w:tabs>
          <w:tab w:pos="3658" w:val="left"/>
        </w:tabs>
        <w:autoSpaceDE w:val="0"/>
        <w:widowControl/>
        <w:spacing w:line="257" w:lineRule="auto" w:before="276" w:after="0"/>
        <w:ind w:left="32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used with reference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public officer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is employed; and</w:t>
      </w:r>
    </w:p>
    <w:p>
      <w:pPr>
        <w:autoSpaceDN w:val="0"/>
        <w:autoSpaceDE w:val="0"/>
        <w:widowControl/>
        <w:spacing w:line="257" w:lineRule="auto" w:before="276" w:after="216"/>
        <w:ind w:left="3418" w:right="278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identity card”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issued to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Registration of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32 of 1968.”.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0" w:firstLine="32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32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“Service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process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server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8" w:after="0"/>
              <w:ind w:left="138" w:right="138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summons are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process server, the summons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 by a precept in the Form No. 17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First Schedule.</w:t>
      </w:r>
    </w:p>
    <w:p>
      <w:pPr>
        <w:autoSpaceDN w:val="0"/>
        <w:autoSpaceDE w:val="0"/>
        <w:widowControl/>
        <w:spacing w:line="262" w:lineRule="auto" w:before="276" w:after="0"/>
        <w:ind w:left="251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The process server may, upon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being served on the defendant,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signature or the thumb impression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defendant on the precept as</w:t>
      </w:r>
    </w:p>
    <w:p>
      <w:pPr>
        <w:autoSpaceDN w:val="0"/>
        <w:autoSpaceDE w:val="0"/>
        <w:widowControl/>
        <w:spacing w:line="235" w:lineRule="auto" w:before="50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acknowledgment of the service of summons.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69" w:lineRule="auto" w:before="258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process server shall return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precept to the court, together with a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setting out the manner in which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served on the defendant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relating to the identity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date, time and place the summons were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served. The report shall also state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defendant, placed or refused to place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or thumb impression, on the precept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acknowledgment of the service of summons.</w:t>
      </w:r>
    </w:p>
    <w:p>
      <w:pPr>
        <w:autoSpaceDN w:val="0"/>
        <w:autoSpaceDE w:val="0"/>
        <w:widowControl/>
        <w:spacing w:line="264" w:lineRule="auto" w:before="294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refusal by any defendant to place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signature or thumb impression,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on the precept shall not be considered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an invalidation of the service of summons.</w:t>
      </w:r>
    </w:p>
    <w:p>
      <w:pPr>
        <w:autoSpaceDN w:val="0"/>
        <w:autoSpaceDE w:val="0"/>
        <w:widowControl/>
        <w:spacing w:line="269" w:lineRule="auto" w:before="292" w:after="0"/>
        <w:ind w:left="388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service referred to in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cannot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effected,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having obtained an affidavit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plaintiff stating that to the best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the defendant resides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captioned address and not living outside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order the process server to affix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at some conspicuous part of the house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defendant ordinarily resides or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of a company or a body corporate,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registered office or at the usual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office of such company or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in every such case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duly served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defendant.</w:t>
      </w:r>
    </w:p>
    <w:p>
      <w:pPr>
        <w:autoSpaceDN w:val="0"/>
        <w:autoSpaceDE w:val="0"/>
        <w:widowControl/>
        <w:spacing w:line="259" w:lineRule="auto" w:before="294" w:after="0"/>
        <w:ind w:left="388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authorise the process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server to serve the summons outside the local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limits of the court as directed by the court.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136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62" w:lineRule="auto" w:before="256" w:after="0"/>
        <w:ind w:left="251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it is reported by the process server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could not be affected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on the last known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given by the plaintiff and the plaintiff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informs Court by filling affidavit that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plaintiff is unaware of the place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resides, the court upon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on the contents of such affidavit,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be served by way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newspapers in all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languages as the court may in each case direct.</w:t>
      </w:r>
    </w:p>
    <w:p>
      <w:pPr>
        <w:autoSpaceDN w:val="0"/>
        <w:autoSpaceDE w:val="0"/>
        <w:widowControl/>
        <w:spacing w:line="238" w:lineRule="auto" w:before="276" w:after="0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For the purpose of this chapter-</w:t>
      </w:r>
    </w:p>
    <w:p>
      <w:pPr>
        <w:autoSpaceDN w:val="0"/>
        <w:autoSpaceDE w:val="0"/>
        <w:widowControl/>
        <w:spacing w:line="262" w:lineRule="auto" w:before="276" w:after="216"/>
        <w:ind w:left="371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 server” means a fiscal,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fiscal, an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Judge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court to serve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the court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or outside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limits of the court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directed by the court,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Grama Niladhari within whose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division the defendant resides.”.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0" w:firstLine="32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“Proof of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When summons are served by-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54" w:after="0"/>
        <w:ind w:left="3136" w:right="278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registered post or courier service,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article receipt or proof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delivery of courier service;</w:t>
      </w:r>
    </w:p>
    <w:p>
      <w:pPr>
        <w:autoSpaceDN w:val="0"/>
        <w:autoSpaceDE w:val="0"/>
        <w:widowControl/>
        <w:spacing w:line="254" w:lineRule="auto" w:before="276" w:after="0"/>
        <w:ind w:left="3136" w:right="278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electronic mail, the proof of sending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electronic mail by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filed as part of the case record;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52" w:after="0"/>
        <w:ind w:left="41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publication in newspapers, copies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publications; or</w:t>
      </w:r>
    </w:p>
    <w:p>
      <w:pPr>
        <w:autoSpaceDN w:val="0"/>
        <w:tabs>
          <w:tab w:pos="4482" w:val="left"/>
        </w:tabs>
        <w:autoSpaceDE w:val="0"/>
        <w:widowControl/>
        <w:spacing w:line="245" w:lineRule="auto" w:before="250" w:after="0"/>
        <w:ind w:left="41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other manner, an affidavit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service,</w:t>
      </w:r>
    </w:p>
    <w:p>
      <w:pPr>
        <w:autoSpaceDN w:val="0"/>
        <w:autoSpaceDE w:val="0"/>
        <w:widowControl/>
        <w:spacing w:line="247" w:lineRule="auto" w:before="248" w:after="188"/>
        <w:ind w:left="384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sufficient evidence of the service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and of the date of such service,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admissible in evidence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contained therein shall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correct unless and until the contrary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</w:tr>
    </w:tbl>
    <w:p>
      <w:pPr>
        <w:autoSpaceDN w:val="0"/>
        <w:autoSpaceDE w:val="0"/>
        <w:widowControl/>
        <w:spacing w:line="235" w:lineRule="auto" w:before="6" w:after="13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24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“Service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affixing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immovable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22" w:right="71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 action to obtain relief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for wrong in respect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immovable property or connected thereto,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service cannot be made on the defendant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person, it may be made on any agent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in charge of the property and in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agent cannot be found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direct that the summons shall be affixed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some conspicuous part of such property.”.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6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576" w:firstLine="32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</w:tr>
    </w:tbl>
    <w:p>
      <w:pPr>
        <w:autoSpaceDN w:val="0"/>
        <w:autoSpaceDE w:val="0"/>
        <w:widowControl/>
        <w:spacing w:line="238" w:lineRule="auto" w:before="6" w:after="98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“Service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defendant 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jail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716" w:firstLine="48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the defendant be in jail,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summons shall be delivered by the process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server to the officer in charge of the jail in which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86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defendant is confined, and such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the summons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and obtain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acknowledgement of receipt of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defendant.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038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78" w:lineRule="auto" w:before="278" w:after="0"/>
        <w:ind w:left="251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precept shall be returned through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 server to the court from which it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with a statement of the service endorsed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thereon, and signed by the officer in 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jail.</w:t>
      </w:r>
    </w:p>
    <w:p>
      <w:pPr>
        <w:autoSpaceDN w:val="0"/>
        <w:autoSpaceDE w:val="0"/>
        <w:widowControl/>
        <w:spacing w:line="276" w:lineRule="auto" w:before="326" w:after="266"/>
        <w:ind w:left="251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defendant is in prison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returnable date the officer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of the prison shall produce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defendant to the Court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70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for the words and figures “other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of section 55.”, of the words and figures “other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70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26" w:after="266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section 55.  Such service can be effected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by any legal firm authorised by the laws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country where the defendant resides and the proof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service of summons shall be submitted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9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Chapter VIII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Chapter VIII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VIII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2" w:lineRule="auto" w:before="266" w:after="0"/>
        <w:ind w:left="3168" w:right="43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“CHAPTER VIII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RDERS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69" w:lineRule="auto" w:before="32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Communication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71</w:t>
      </w:r>
      <w:r>
        <w:rPr>
          <w:rFonts w:ascii="Times,Bold" w:hAnsi="Times,Bold" w:eastAsia="Times,Bold"/>
          <w:b/>
          <w:i w:val="0"/>
          <w:color w:val="221F1F"/>
          <w:sz w:val="14"/>
        </w:rPr>
        <w:t>A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Court may, in addition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Orders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documents, direct the Registrar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communicate any order of court including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enjoining order, an injunction,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injunction, a sequestration order and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the parties concerned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 or telephone devices.”.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194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1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following: -</w:t>
            </w:r>
          </w:p>
        </w:tc>
      </w:tr>
    </w:tbl>
    <w:p>
      <w:pPr>
        <w:autoSpaceDN w:val="0"/>
        <w:autoSpaceDE w:val="0"/>
        <w:widowControl/>
        <w:spacing w:line="238" w:lineRule="auto" w:before="164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“(2)  Where,</w:t>
      </w:r>
    </w:p>
    <w:p>
      <w:pPr>
        <w:autoSpaceDN w:val="0"/>
        <w:autoSpaceDE w:val="0"/>
        <w:widowControl/>
        <w:spacing w:line="250" w:lineRule="auto" w:before="280" w:after="0"/>
        <w:ind w:left="345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anytime after the case is fixed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ex-parte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trial against the defendant for default; or</w:t>
      </w:r>
    </w:p>
    <w:p>
      <w:pPr>
        <w:autoSpaceDN w:val="0"/>
        <w:autoSpaceDE w:val="0"/>
        <w:widowControl/>
        <w:spacing w:line="257" w:lineRule="auto" w:before="282" w:after="0"/>
        <w:ind w:left="394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time after the decree is entered 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for default but without the service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decree on him; or</w:t>
      </w:r>
    </w:p>
    <w:p>
      <w:pPr>
        <w:autoSpaceDN w:val="0"/>
        <w:tabs>
          <w:tab w:pos="3942" w:val="left"/>
        </w:tabs>
        <w:autoSpaceDE w:val="0"/>
        <w:widowControl/>
        <w:spacing w:line="252" w:lineRule="auto" w:before="278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fourteen days of the service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decree entered against him for default,</w:t>
      </w:r>
    </w:p>
    <w:p>
      <w:pPr>
        <w:autoSpaceDN w:val="0"/>
        <w:autoSpaceDE w:val="0"/>
        <w:widowControl/>
        <w:spacing w:line="262" w:lineRule="auto" w:before="282" w:after="222"/>
        <w:ind w:left="322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defendant, with notice to the plaintiff makes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and thereafter satisfies court, that he did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receive the summons or that he had reasonable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for such default, the court shall set aside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fixing the case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trial, the judgement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decree as the case may be and permit the defendant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proceed with his defence as from the stage of default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such terms as to costs or otherwise as to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deem fit.”.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3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653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9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First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653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substitution, for the words “one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rupees”, of the words “two million rupees.”.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2" w:lineRule="auto" w:before="532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 -</w:t>
            </w:r>
          </w:p>
          <w:p>
            <w:pPr>
              <w:autoSpaceDN w:val="0"/>
              <w:autoSpaceDE w:val="0"/>
              <w:widowControl/>
              <w:spacing w:line="238" w:lineRule="auto" w:before="284" w:after="0"/>
              <w:ind w:left="5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Form No. 7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19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35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5" w:lineRule="auto" w:before="2" w:after="0"/>
        <w:ind w:left="0" w:right="44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tabs>
          <w:tab w:pos="5338" w:val="left"/>
        </w:tabs>
        <w:autoSpaceDE w:val="0"/>
        <w:widowControl/>
        <w:spacing w:line="298" w:lineRule="auto" w:before="256" w:after="0"/>
        <w:ind w:left="3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27]</w:t>
      </w:r>
    </w:p>
    <w:p>
      <w:pPr>
        <w:autoSpaceDN w:val="0"/>
        <w:autoSpaceDE w:val="0"/>
        <w:widowControl/>
        <w:spacing w:line="238" w:lineRule="auto" w:before="338" w:after="0"/>
        <w:ind w:left="0" w:right="30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APPOINTMENT OF A REGISTERED</w:t>
      </w:r>
    </w:p>
    <w:p>
      <w:pPr>
        <w:autoSpaceDN w:val="0"/>
        <w:autoSpaceDE w:val="0"/>
        <w:widowControl/>
        <w:spacing w:line="238" w:lineRule="auto" w:before="78" w:after="278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ATTORNEY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Know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men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these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presents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I/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we………………………………………, holder of National</w:t>
      </w:r>
    </w:p>
    <w:p>
      <w:pPr>
        <w:autoSpaceDN w:val="0"/>
        <w:autoSpaceDE w:val="0"/>
        <w:widowControl/>
        <w:spacing w:line="235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Identity card bearing no……………………………………..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78" w:after="4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have nominated, constituted and appointed, and do hereby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nominate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……….…………………………………Attorney-at-Law to</w:t>
      </w:r>
    </w:p>
    <w:p>
      <w:pPr>
        <w:autoSpaceDN w:val="0"/>
        <w:tabs>
          <w:tab w:pos="2626" w:val="left"/>
          <w:tab w:pos="3452" w:val="left"/>
          <w:tab w:pos="4492" w:val="left"/>
          <w:tab w:pos="5448" w:val="left"/>
          <w:tab w:pos="6008" w:val="left"/>
        </w:tabs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my/our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6"/>
        </w:rPr>
        <w:t>for</w:t>
      </w:r>
    </w:p>
    <w:p>
      <w:pPr>
        <w:autoSpaceDN w:val="0"/>
        <w:tabs>
          <w:tab w:pos="5154" w:val="left"/>
          <w:tab w:pos="6082" w:val="left"/>
        </w:tabs>
        <w:autoSpaceDE w:val="0"/>
        <w:widowControl/>
        <w:spacing w:line="235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…………………………………..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……………………………………………… name and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behalf before the ………………………………………….</w:t>
      </w:r>
    </w:p>
    <w:p>
      <w:pPr>
        <w:autoSpaceDN w:val="0"/>
        <w:autoSpaceDE w:val="0"/>
        <w:widowControl/>
        <w:spacing w:line="235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appear and therein to (sue or defend, as the case may be,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showing what the action is)</w:t>
      </w:r>
    </w:p>
    <w:p>
      <w:pPr>
        <w:autoSpaceDN w:val="0"/>
        <w:autoSpaceDE w:val="0"/>
        <w:widowControl/>
        <w:spacing w:line="235" w:lineRule="auto" w:before="33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to receive and to take all moneys that may be paid to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him by the said …………………… in the said action, and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move for and obtain in his name any order or orders</w:t>
      </w:r>
    </w:p>
    <w:p>
      <w:pPr>
        <w:autoSpaceDN w:val="0"/>
        <w:autoSpaceDE w:val="0"/>
        <w:widowControl/>
        <w:spacing w:line="235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from the said Court for any payments of any sum or sums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of money that may be deposited therein in respect of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……………………………………, and to give all necessary</w:t>
      </w:r>
    </w:p>
    <w:p>
      <w:pPr>
        <w:autoSpaceDN w:val="0"/>
        <w:autoSpaceDE w:val="0"/>
        <w:widowControl/>
        <w:spacing w:line="235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receipts, releases and discharges therefor. And if need be,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refer the case to the award and decision of arbitrators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and to name an arbitrator for ………………………, and</w:t>
      </w:r>
    </w:p>
    <w:p>
      <w:pPr>
        <w:autoSpaceDN w:val="0"/>
        <w:autoSpaceDE w:val="0"/>
        <w:widowControl/>
        <w:spacing w:line="235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for that purpose to sign any motion, submission, or bond;</w:t>
      </w:r>
    </w:p>
    <w:p>
      <w:pPr>
        <w:autoSpaceDN w:val="0"/>
        <w:autoSpaceDE w:val="0"/>
        <w:widowControl/>
        <w:spacing w:line="238" w:lineRule="auto" w:before="80" w:after="4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or, if necessary to allow and consent to a judgement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entered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……………………………..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5" w:lineRule="auto" w:before="3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……………………………. said Attorney-at-Law shall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appear fit and proper; and against any judgment, order,</w:t>
      </w:r>
    </w:p>
    <w:p>
      <w:pPr>
        <w:autoSpaceDN w:val="0"/>
        <w:autoSpaceDE w:val="0"/>
        <w:widowControl/>
        <w:spacing w:line="238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sentence, or decree interlocutory or final of the said Court</w:t>
      </w:r>
    </w:p>
    <w:p>
      <w:pPr>
        <w:autoSpaceDN w:val="0"/>
        <w:autoSpaceDE w:val="0"/>
        <w:widowControl/>
        <w:spacing w:line="235" w:lineRule="auto" w:before="7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appeal to the High Court, Court of Appeal or Supreme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Court; and every bond or recognizance whatsoever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305" w:lineRule="auto" w:before="294" w:after="38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 in the course of proceedings for the prosecution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such appeal for and in ………………………… name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and as ……………………………………… act to sign,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6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upon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judgement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35" w:lineRule="auto" w:before="40" w:after="38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 Court to proceed to execution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6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said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</w:t>
      </w:r>
    </w:p>
    <w:p>
      <w:pPr>
        <w:autoSpaceDN w:val="0"/>
        <w:autoSpaceDE w:val="0"/>
        <w:widowControl/>
        <w:spacing w:line="331" w:lineRule="auto" w:before="33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……………………… do further authorize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empower ……………………….. said Attorney-at-Law,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and use all lawful ways and means, and to do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 all such acts, matters and things as may be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and about the premises which …………………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personally present might or could lawfully do, and, if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necessary, one or more Attorney or Attorneys-at-Law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counsel, to appoint, and again at pleasure such appointment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revoke, and …………………. further promise and agree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release all kinds of irregularities, and to ratify, confirm,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allow all and whatsoever the said Attorney-at-Law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his substitute or substitutes, or the said counsel, shall do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herein.</w:t>
      </w:r>
    </w:p>
    <w:p>
      <w:pPr>
        <w:autoSpaceDN w:val="0"/>
        <w:tabs>
          <w:tab w:pos="5442" w:val="left"/>
        </w:tabs>
        <w:autoSpaceDE w:val="0"/>
        <w:widowControl/>
        <w:spacing w:line="295" w:lineRule="auto" w:before="472" w:after="0"/>
        <w:ind w:left="49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.………………………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Signature/s</w:t>
      </w:r>
    </w:p>
    <w:p>
      <w:pPr>
        <w:autoSpaceDN w:val="0"/>
        <w:tabs>
          <w:tab w:pos="4510" w:val="left"/>
          <w:tab w:pos="5482" w:val="left"/>
          <w:tab w:pos="6012" w:val="left"/>
          <w:tab w:pos="6688" w:val="left"/>
          <w:tab w:pos="7438" w:val="left"/>
          <w:tab w:pos="7456" w:val="left"/>
        </w:tabs>
        <w:autoSpaceDE w:val="0"/>
        <w:widowControl/>
        <w:spacing w:line="305" w:lineRule="auto" w:before="19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at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…………….day </w:t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………………20…</w:t>
      </w:r>
    </w:p>
    <w:p>
      <w:pPr>
        <w:autoSpaceDN w:val="0"/>
        <w:autoSpaceDE w:val="0"/>
        <w:widowControl/>
        <w:spacing w:line="305" w:lineRule="auto" w:before="338" w:after="4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I certify that I am satisfied with the identity of the said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………….………………..(name/s) according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National Identity Card/Passport/ Senior Citizen Identity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Card/Driving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bearing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</w:t>
            </w:r>
          </w:p>
        </w:tc>
      </w:tr>
    </w:tbl>
    <w:p>
      <w:pPr>
        <w:autoSpaceDN w:val="0"/>
        <w:autoSpaceDE w:val="0"/>
        <w:widowControl/>
        <w:spacing w:line="288" w:lineRule="auto" w:before="38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 and he/she/they signed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me on .................................................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22" w:val="left"/>
          <w:tab w:pos="6038" w:val="left"/>
        </w:tabs>
        <w:autoSpaceDE w:val="0"/>
        <w:widowControl/>
        <w:spacing w:line="248" w:lineRule="exact" w:before="0" w:after="0"/>
        <w:ind w:left="2354" w:right="2736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312" w:lineRule="auto" w:before="204" w:after="0"/>
        <w:ind w:left="360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Attorney/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Attorney-at-Law/Solicitor/Notary/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Ambassador/High Commissioner/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Diplomatic Officer/Consular Officer.</w:t>
      </w:r>
    </w:p>
    <w:p>
      <w:pPr>
        <w:autoSpaceDN w:val="0"/>
        <w:autoSpaceDE w:val="0"/>
        <w:widowControl/>
        <w:spacing w:line="238" w:lineRule="auto" w:before="178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(Seal)</w:t>
      </w:r>
    </w:p>
    <w:p>
      <w:pPr>
        <w:autoSpaceDN w:val="0"/>
        <w:tabs>
          <w:tab w:pos="3300" w:val="left"/>
          <w:tab w:pos="3856" w:val="left"/>
          <w:tab w:pos="4016" w:val="left"/>
        </w:tabs>
        <w:autoSpaceDE w:val="0"/>
        <w:widowControl/>
        <w:spacing w:line="314" w:lineRule="auto" w:before="444" w:after="0"/>
        <w:ind w:left="2176" w:right="302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 (Seal).”;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Phone numbers: Office :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Mobile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Fax Number: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2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 :-</w:t>
      </w:r>
    </w:p>
    <w:p>
      <w:pPr>
        <w:autoSpaceDN w:val="0"/>
        <w:autoSpaceDE w:val="0"/>
        <w:widowControl/>
        <w:spacing w:line="238" w:lineRule="auto" w:before="378" w:after="0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                       [Sections 27 and 55]</w:t>
      </w:r>
    </w:p>
    <w:p>
      <w:pPr>
        <w:autoSpaceDN w:val="0"/>
        <w:autoSpaceDE w:val="0"/>
        <w:widowControl/>
        <w:spacing w:line="300" w:lineRule="auto" w:before="33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MEMORANDUM OF REGISTERED ADDRESS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MOBILE PHONE NUMBER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REGISTERED ELECTRONIC MAIL ADDRESS</w:t>
      </w:r>
    </w:p>
    <w:p>
      <w:pPr>
        <w:autoSpaceDN w:val="0"/>
        <w:autoSpaceDE w:val="0"/>
        <w:widowControl/>
        <w:spacing w:line="322" w:lineRule="auto" w:before="326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Commercial High Court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District Court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Primary Court of 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Case No. 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I,…………………………………………….(the Plaintiff/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Defendant/Petitioner/Respondent/Party seeking to be added/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substituted) hereby furnish my address/ mobile phone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number/ electronic mail address for the service of the notices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all other legal documents required to be served on me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under this Code.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722" w:val="left"/>
          <w:tab w:pos="4388" w:val="left"/>
        </w:tabs>
        <w:autoSpaceDE w:val="0"/>
        <w:widowControl/>
        <w:spacing w:line="236" w:lineRule="exact" w:before="30" w:after="0"/>
        <w:ind w:left="2782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314" w:lineRule="auto" w:before="296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undertake to inform the Registrar of any change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address/registered mobile phone number/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electronic mail address forthwith by submitting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another memorandum in the same form.</w:t>
      </w:r>
    </w:p>
    <w:p>
      <w:pPr>
        <w:autoSpaceDN w:val="0"/>
        <w:autoSpaceDE w:val="0"/>
        <w:widowControl/>
        <w:spacing w:line="312" w:lineRule="auto" w:before="340" w:after="0"/>
        <w:ind w:left="352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Mobile Phone Number: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Fax Number:</w:t>
      </w:r>
    </w:p>
    <w:p>
      <w:pPr>
        <w:autoSpaceDN w:val="0"/>
        <w:autoSpaceDE w:val="0"/>
        <w:widowControl/>
        <w:spacing w:line="238" w:lineRule="auto" w:before="302" w:after="0"/>
        <w:ind w:left="0" w:right="26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……………………..</w:t>
      </w:r>
    </w:p>
    <w:p>
      <w:pPr>
        <w:autoSpaceDN w:val="0"/>
        <w:autoSpaceDE w:val="0"/>
        <w:widowControl/>
        <w:spacing w:line="305" w:lineRule="auto" w:before="0" w:after="0"/>
        <w:ind w:left="4032" w:right="187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Plaintiff/Defendant/Petitioner/ Respondent/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Party Seeking to be added/ substituted.”;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41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Form No. 17 thereof,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autoSpaceDN w:val="0"/>
        <w:autoSpaceDE w:val="0"/>
        <w:widowControl/>
        <w:spacing w:line="238" w:lineRule="auto" w:before="59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17                               [Sections 60,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]</w:t>
      </w:r>
    </w:p>
    <w:p>
      <w:pPr>
        <w:autoSpaceDN w:val="0"/>
        <w:autoSpaceDE w:val="0"/>
        <w:widowControl/>
        <w:spacing w:line="288" w:lineRule="auto" w:before="338" w:after="0"/>
        <w:ind w:left="345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OF PRECEPT TO PROCESS SERVER TO SERVE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SUMMONS OR ORDERS</w:t>
      </w:r>
    </w:p>
    <w:p>
      <w:pPr>
        <w:autoSpaceDN w:val="0"/>
        <w:autoSpaceDE w:val="0"/>
        <w:widowControl/>
        <w:spacing w:line="288" w:lineRule="auto" w:before="33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Fiscal / Authorized Officer / Grama Niladhari of the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</w:t>
      </w:r>
    </w:p>
    <w:p>
      <w:pPr>
        <w:autoSpaceDN w:val="0"/>
        <w:autoSpaceDE w:val="0"/>
        <w:widowControl/>
        <w:spacing w:line="329" w:lineRule="auto" w:before="7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Court/Division of ………………………………………..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Serve forthwith the summons in the above-named action,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which, with duplicates, is herewith transmitted to you, upon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each of the persons to whom it is directed, and leave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tender to each such person a duplicate summons and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copies of (or concise statements presented with)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plaint, which accompany the summons. And certify to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on or before the …………. day of …………..20……,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what manner you have executed this precept, returning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summons attached to your certificate as an exhibit.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38" w:val="left"/>
        </w:tabs>
        <w:autoSpaceDE w:val="0"/>
        <w:widowControl/>
        <w:spacing w:line="226" w:lineRule="exact" w:before="0" w:after="0"/>
        <w:ind w:left="2354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2" w:after="0"/>
        <w:ind w:left="0" w:right="441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38" w:lineRule="auto" w:before="246" w:after="0"/>
        <w:ind w:left="0" w:right="29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order of Court,</w:t>
      </w:r>
    </w:p>
    <w:p>
      <w:pPr>
        <w:autoSpaceDN w:val="0"/>
        <w:autoSpaceDE w:val="0"/>
        <w:widowControl/>
        <w:spacing w:line="238" w:lineRule="auto" w:before="78" w:after="0"/>
        <w:ind w:left="0" w:right="2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(Signed) ………….,</w:t>
      </w:r>
    </w:p>
    <w:p>
      <w:pPr>
        <w:autoSpaceDN w:val="0"/>
        <w:autoSpaceDE w:val="0"/>
        <w:widowControl/>
        <w:spacing w:line="235" w:lineRule="auto" w:before="80" w:after="0"/>
        <w:ind w:left="0" w:right="3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Registrar.</w:t>
      </w:r>
    </w:p>
    <w:p>
      <w:pPr>
        <w:autoSpaceDN w:val="0"/>
        <w:autoSpaceDE w:val="0"/>
        <w:widowControl/>
        <w:spacing w:line="238" w:lineRule="auto" w:before="734" w:after="242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The……..day of ……………20...”.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04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Act, No. 43 of 2024</w:t>
      </w:r>
    </w:p>
    <w:p>
      <w:pPr>
        <w:autoSpaceDN w:val="0"/>
        <w:autoSpaceDE w:val="0"/>
        <w:widowControl/>
        <w:spacing w:line="238" w:lineRule="auto" w:before="888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p>
      <w:pPr>
        <w:autoSpaceDN w:val="0"/>
        <w:autoSpaceDE w:val="0"/>
        <w:widowControl/>
        <w:spacing w:line="245" w:lineRule="auto" w:before="3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