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8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RECIPROCAL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RECOGNITION, REGISTRATION AND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ENFORCEMENT OF FOREIGN JUDGMENTS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49 OF 2024</w:t>
      </w:r>
    </w:p>
    <w:p>
      <w:pPr>
        <w:autoSpaceDN w:val="0"/>
        <w:autoSpaceDE w:val="0"/>
        <w:widowControl/>
        <w:spacing w:line="235" w:lineRule="auto" w:before="684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13th of September,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5" w:lineRule="auto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20, 2024</w:t>
      </w:r>
    </w:p>
    <w:p>
      <w:pPr>
        <w:autoSpaceDN w:val="0"/>
        <w:autoSpaceDE w:val="0"/>
        <w:widowControl/>
        <w:spacing w:line="245" w:lineRule="auto" w:before="406" w:after="152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36.00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73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08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420" w:lineRule="auto" w:before="34" w:after="0"/>
        <w:ind w:left="1438" w:right="2736" w:firstLine="81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13th of September, 2024]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L.D.—O. 19/2022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38" w:lineRule="auto" w:before="20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35" w:lineRule="auto" w:before="1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OURTS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COUNTRIES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38" w:lineRule="auto" w:before="2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93)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</w:p>
    <w:p>
      <w:pPr>
        <w:autoSpaceDN w:val="0"/>
        <w:autoSpaceDE w:val="0"/>
        <w:widowControl/>
        <w:spacing w:line="235" w:lineRule="auto" w:before="1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</w:p>
    <w:p>
      <w:pPr>
        <w:autoSpaceDN w:val="0"/>
        <w:autoSpaceDE w:val="0"/>
        <w:widowControl/>
        <w:spacing w:line="244" w:lineRule="exact" w:before="4" w:after="0"/>
        <w:ind w:left="1676" w:right="2736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94);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CONNECTED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OR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20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(1) This Act may be cited as the Reciprocal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Recognition,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Enforcement of Foreign Judgments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49 of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52" w:lineRule="auto" w:before="2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referred to as the “appointed date”).</w:t>
      </w:r>
    </w:p>
    <w:p>
      <w:pPr>
        <w:autoSpaceDN w:val="0"/>
        <w:autoSpaceDE w:val="0"/>
        <w:widowControl/>
        <w:spacing w:line="250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p>
      <w:pPr>
        <w:autoSpaceDN w:val="0"/>
        <w:autoSpaceDE w:val="0"/>
        <w:widowControl/>
        <w:spacing w:line="374" w:lineRule="auto" w:before="266" w:after="452"/>
        <w:ind w:left="2880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Where-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  <w:tr>
        <w:trPr>
          <w:trHeight w:hRule="exact" w:val="37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the Government of Sri Lanka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2736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foreign country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any treaty as respects the reciprocal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</w:tbl>
    <w:p>
      <w:pPr>
        <w:autoSpaceDN w:val="0"/>
        <w:autoSpaceDE w:val="0"/>
        <w:widowControl/>
        <w:spacing w:line="269" w:lineRule="auto" w:before="46" w:after="0"/>
        <w:ind w:left="422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registration and enforcement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of such foreign country; or</w:t>
      </w:r>
    </w:p>
    <w:p>
      <w:pPr>
        <w:autoSpaceDN w:val="0"/>
        <w:autoSpaceDE w:val="0"/>
        <w:widowControl/>
        <w:spacing w:line="278" w:lineRule="auto" w:before="322" w:after="0"/>
        <w:ind w:left="422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any written law in force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provides for the reciprocal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judgments of the courts of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country; and</w:t>
      </w:r>
    </w:p>
    <w:p>
      <w:pPr>
        <w:autoSpaceDN w:val="0"/>
        <w:tabs>
          <w:tab w:pos="3742" w:val="left"/>
        </w:tabs>
        <w:autoSpaceDE w:val="0"/>
        <w:widowControl/>
        <w:spacing w:line="278" w:lineRule="auto" w:before="320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is satisfied that by extending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 to judgments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courts of such foreign country a substantial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reciprocity of treatment will be assured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respects the recognition, registration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in such foreign country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judgments of the  courts of Sri Lanka,</w:t>
      </w:r>
    </w:p>
    <w:p>
      <w:pPr>
        <w:autoSpaceDN w:val="0"/>
        <w:autoSpaceDE w:val="0"/>
        <w:widowControl/>
        <w:spacing w:line="274" w:lineRule="auto" w:before="3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provisions of this Part of this Act shall extend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judgments of such  courts of that foreign country as are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Order.</w:t>
      </w:r>
    </w:p>
    <w:p>
      <w:pPr>
        <w:autoSpaceDN w:val="0"/>
        <w:autoSpaceDE w:val="0"/>
        <w:widowControl/>
        <w:spacing w:line="274" w:lineRule="auto" w:before="32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if he considers it appropriate, seek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views of the Minister assigned the subject of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Affairs and the Attorney-General in making an Order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38" w:lineRule="auto" w:before="322" w:after="0"/>
        <w:ind w:left="0" w:right="2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 An Order made under subsection (1) shall-</w:t>
      </w:r>
    </w:p>
    <w:p>
      <w:pPr>
        <w:autoSpaceDN w:val="0"/>
        <w:tabs>
          <w:tab w:pos="3742" w:val="left"/>
        </w:tabs>
        <w:autoSpaceDE w:val="0"/>
        <w:widowControl/>
        <w:spacing w:line="266" w:lineRule="auto" w:before="320" w:after="0"/>
        <w:ind w:left="33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the date of publication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Order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on such later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therein;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7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16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autoSpaceDE w:val="0"/>
              <w:widowControl/>
              <w:spacing w:line="235" w:lineRule="auto" w:before="11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 (4), remain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39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force so long as may be specified in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such period as the treaty or the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remains in force.</w:t>
      </w:r>
    </w:p>
    <w:p>
      <w:pPr>
        <w:autoSpaceDN w:val="0"/>
        <w:autoSpaceDE w:val="0"/>
        <w:widowControl/>
        <w:spacing w:line="262" w:lineRule="auto" w:before="29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may, having regard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 by a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amend, vary or revoke any Order previously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that subsection.</w:t>
      </w:r>
    </w:p>
    <w:p>
      <w:pPr>
        <w:autoSpaceDN w:val="0"/>
        <w:autoSpaceDE w:val="0"/>
        <w:widowControl/>
        <w:spacing w:line="259" w:lineRule="auto" w:before="2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Order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autoSpaceDE w:val="0"/>
        <w:widowControl/>
        <w:spacing w:line="259" w:lineRule="auto" w:before="288" w:after="0"/>
        <w:ind w:left="1438" w:right="2782" w:firstLine="48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Any Order which is not so approved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rPr>
          <w:rFonts w:ascii="Times" w:hAnsi="Times" w:eastAsia="Times"/>
          <w:b w:val="0"/>
          <w:i w:val="0"/>
          <w:color w:val="000000"/>
          <w:sz w:val="20"/>
        </w:rPr>
        <w:t>but without prejudice to anything duly done thereunder.</w:t>
      </w:r>
    </w:p>
    <w:p>
      <w:pPr>
        <w:autoSpaceDN w:val="0"/>
        <w:tabs>
          <w:tab w:pos="1678" w:val="left"/>
        </w:tabs>
        <w:autoSpaceDE w:val="0"/>
        <w:widowControl/>
        <w:spacing w:line="254" w:lineRule="auto" w:before="288" w:after="23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notification of the date on which an Order is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provisions of this Act shall apply to a judgment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court of a foreign country specified in the Order published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2, only if such judgment is final and conclusive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apply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between the parties to such judgment, and-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4" w:lineRule="auto" w:before="28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one or more of the following conditions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satisfied by the applicant: 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66" w:lineRule="auto" w:before="290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judgment-creditor or the judgment-debtor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a resident of the country of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at the time such judgment-creditor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judgment-debtor, as the case may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became a party to the proceedings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original court;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70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115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judgment-debtor, if he is a natural person,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had his principal place of business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judgment-debtor became a party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original court;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62" w:lineRule="auto" w:before="29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judgment-creditor is the person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the judgment based on his claim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claim in reconvention in an action;</w:t>
      </w:r>
    </w:p>
    <w:p>
      <w:pPr>
        <w:autoSpaceDN w:val="0"/>
        <w:tabs>
          <w:tab w:pos="3982" w:val="left"/>
        </w:tabs>
        <w:autoSpaceDE w:val="0"/>
        <w:widowControl/>
        <w:spacing w:line="266" w:lineRule="auto" w:before="298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 has maintained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branch, agency or other establishment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without separate legal personality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at the time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judgment-debtor became a party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proceedings in the original court;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2" w:lineRule="auto" w:before="296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 has agreed to submit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jurisdiction of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66" w:lineRule="auto" w:before="296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property relating to the judgment,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movable or immovable is situated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or in the country of the original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the proceedings in the original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court;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64" w:lineRule="auto" w:before="296" w:after="0"/>
        <w:ind w:left="345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of the original court, as at the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judgment or thereafter; or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judgment for the dissolution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separation of the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marriage, only if such judgment is obtained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respect of a marriage registered under the Marriage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744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08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4" w:lineRule="auto" w:before="5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Ordinance (Chapter 112), whether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had been contracted prior to or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 or such judgment had been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or after the appointed date, and –</w:t>
      </w:r>
    </w:p>
    <w:p>
      <w:pPr>
        <w:autoSpaceDN w:val="0"/>
        <w:tabs>
          <w:tab w:pos="2656" w:val="left"/>
        </w:tabs>
        <w:autoSpaceDE w:val="0"/>
        <w:widowControl/>
        <w:spacing w:line="254" w:lineRule="auto" w:before="296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party to the marriage was domiciled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country as at the date of the judgment;</w:t>
      </w:r>
    </w:p>
    <w:p>
      <w:pPr>
        <w:autoSpaceDN w:val="0"/>
        <w:tabs>
          <w:tab w:pos="2656" w:val="left"/>
        </w:tabs>
        <w:autoSpaceDE w:val="0"/>
        <w:widowControl/>
        <w:spacing w:line="264" w:lineRule="auto" w:before="296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party to the marriage was habitually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 such country for a period not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one year immediately before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judgment;</w:t>
      </w:r>
    </w:p>
    <w:p>
      <w:pPr>
        <w:autoSpaceDN w:val="0"/>
        <w:tabs>
          <w:tab w:pos="2656" w:val="left"/>
          <w:tab w:pos="2660" w:val="left"/>
        </w:tabs>
        <w:autoSpaceDE w:val="0"/>
        <w:widowControl/>
        <w:spacing w:line="262" w:lineRule="auto" w:before="296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party to the marriage was a national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country as at the date of the judgment;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656" w:val="left"/>
          <w:tab w:pos="2660" w:val="left"/>
        </w:tabs>
        <w:autoSpaceDE w:val="0"/>
        <w:widowControl/>
        <w:spacing w:line="254" w:lineRule="auto" w:before="296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parties have submitted to the jurisdiction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court.</w:t>
      </w:r>
    </w:p>
    <w:p>
      <w:pPr>
        <w:autoSpaceDN w:val="0"/>
        <w:autoSpaceDE w:val="0"/>
        <w:widowControl/>
        <w:spacing w:line="262" w:lineRule="auto" w:before="29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not apply to any tax,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charge, fine or other penalty payable under a judgment of a </w:t>
      </w:r>
      <w:r>
        <w:rPr>
          <w:rFonts w:ascii="Times" w:hAnsi="Times" w:eastAsia="Times"/>
          <w:b w:val="0"/>
          <w:i w:val="0"/>
          <w:color w:val="000000"/>
          <w:sz w:val="20"/>
        </w:rPr>
        <w:t>court of a foreign country.</w:t>
      </w:r>
    </w:p>
    <w:p>
      <w:pPr>
        <w:autoSpaceDN w:val="0"/>
        <w:autoSpaceDE w:val="0"/>
        <w:widowControl/>
        <w:spacing w:line="235" w:lineRule="auto" w:before="296" w:after="0"/>
        <w:ind w:left="0" w:right="4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57" w:lineRule="auto" w:before="296" w:after="238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ECOGNITION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NFORCEMENT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UDGMENTS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An applicant may make an application in such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 manner accompanied by such information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as may be prescribed by rules made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 to the registering court for recognition,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enforcement of a foreign judgment –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enforcement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Enforcement of Foreign Judgments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ten years from the date of the final judgment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along with a certificate issued by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original court authenticating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judgment; and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summary procedure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Chapter XXIV of Part II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Civil Procedure Code:</w:t>
      </w:r>
    </w:p>
    <w:p>
      <w:pPr>
        <w:autoSpaceDN w:val="0"/>
        <w:autoSpaceDE w:val="0"/>
        <w:widowControl/>
        <w:spacing w:line="281" w:lineRule="auto" w:before="34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registering court may entertain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made after ten years from the date of the final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if the applicant proves to the satisfaction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court that the reasons for such delay are valid:</w:t>
      </w:r>
    </w:p>
    <w:p>
      <w:pPr>
        <w:autoSpaceDN w:val="0"/>
        <w:autoSpaceDE w:val="0"/>
        <w:widowControl/>
        <w:spacing w:line="288" w:lineRule="auto" w:before="340" w:after="28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registering court shall not allow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adduce any oral evidence, and shall conclude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on the petitions, statements of objections,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affidavits and any other documents tendered by such parties </w:t>
      </w:r>
      <w:r>
        <w:rPr>
          <w:rFonts w:ascii="Times" w:hAnsi="Times" w:eastAsia="Times"/>
          <w:b w:val="0"/>
          <w:i w:val="0"/>
          <w:color w:val="000000"/>
          <w:sz w:val="20"/>
        </w:rPr>
        <w:t>within a period of six months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application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recognition, registration and enforcement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foreign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Upon receipt of an application for recognition,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and enforcement of a foreign judgment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4, if the registering court is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satisfied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that, as at the date of the application –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judgment is a judgment to which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applies;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applicant has derived any right, interest, benefit,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original court;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16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 has been made within the period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in section 4,</w:t>
      </w:r>
    </w:p>
    <w:p>
      <w:pPr>
        <w:autoSpaceDN w:val="0"/>
        <w:autoSpaceDE w:val="0"/>
        <w:widowControl/>
        <w:spacing w:line="238" w:lineRule="auto" w:before="29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registering court shall proceed to register such judgment.</w:t>
      </w:r>
    </w:p>
    <w:p>
      <w:pPr>
        <w:autoSpaceDN w:val="0"/>
        <w:autoSpaceDE w:val="0"/>
        <w:widowControl/>
        <w:spacing w:line="266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where a judgment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registered in terms of this Act, such registered judgment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the same force and effect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control over the execution of such judgment as if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been a judgment originally given in the registering court </w:t>
      </w:r>
      <w:r>
        <w:rPr>
          <w:rFonts w:ascii="Times" w:hAnsi="Times" w:eastAsia="Times"/>
          <w:b w:val="0"/>
          <w:i w:val="0"/>
          <w:color w:val="000000"/>
          <w:sz w:val="20"/>
        </w:rPr>
        <w:t>and entered on the date of registration.</w:t>
      </w:r>
    </w:p>
    <w:p>
      <w:pPr>
        <w:autoSpaceDN w:val="0"/>
        <w:autoSpaceDE w:val="0"/>
        <w:widowControl/>
        <w:spacing w:line="266" w:lineRule="auto" w:before="296" w:after="23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Where, as at the date of application for recognition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registration of a foreign judgment, a part of the relief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by the original court has been satisfied,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may enforce the judgment only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the unsatisfied part of the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2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Where, upon registration of a foreign judgment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dissolution or annulment of a marriage or separation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parties to a marriage under section 5, it appears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 court that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annulment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parties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given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shall pronounce a 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 such judgment in Sri Lanka;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was obtained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parte,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shall issue a notice to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 to the marriage.</w:t>
      </w:r>
    </w:p>
    <w:p>
      <w:pPr>
        <w:autoSpaceDN w:val="0"/>
        <w:autoSpaceDE w:val="0"/>
        <w:widowControl/>
        <w:spacing w:line="264" w:lineRule="auto" w:before="29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sections 59 to 71 of the Civil Procedure Code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service of </w:t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2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</w:tbl>
    <w:p>
      <w:pPr>
        <w:autoSpaceDN w:val="0"/>
        <w:autoSpaceDE w:val="0"/>
        <w:widowControl/>
        <w:spacing w:line="266" w:lineRule="auto" w:before="40" w:after="23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no objection made under section 7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period specified in the notice issued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and upon the registering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being satisfied of the proper service of notice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the registering court may </w:t>
      </w:r>
      <w:r>
        <w:rPr>
          <w:rFonts w:ascii="Times" w:hAnsi="Times" w:eastAsia="Times"/>
          <w:b w:val="0"/>
          <w:i w:val="0"/>
          <w:color w:val="000000"/>
          <w:sz w:val="20"/>
        </w:rPr>
        <w:t>pronounce a declaration recognising</w:t>
      </w:r>
      <w:r>
        <w:rPr>
          <w:rFonts w:ascii="Times" w:hAnsi="Times" w:eastAsia="Times"/>
          <w:b w:val="0"/>
          <w:i w:val="0"/>
          <w:color w:val="000000"/>
          <w:sz w:val="20"/>
        </w:rPr>
        <w:t>such foreign judgment.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dissolution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annulment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marriage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parties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respondent to an application for the recognition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 of a foreign judgment for the dissolution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annulment of a marriage or separation of the parties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marriage, upon receipt of a notice issued 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section 6, may appear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registering court and object to such application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 that-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has failed to satisfy any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set out in section </w:t>
      </w:r>
      <w:r>
        <w:rPr>
          <w:rFonts w:ascii="Times" w:hAnsi="Times" w:eastAsia="Times"/>
          <w:b w:val="0"/>
          <w:i w:val="0"/>
          <w:strike/>
          <w:color w:val="000000"/>
          <w:sz w:val="20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3544" w:val="left"/>
        </w:tabs>
        <w:autoSpaceDE w:val="0"/>
        <w:widowControl/>
        <w:spacing w:line="235" w:lineRule="auto" w:before="296" w:after="0"/>
        <w:ind w:left="3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there is fraud; or</w:t>
      </w:r>
    </w:p>
    <w:p>
      <w:pPr>
        <w:autoSpaceDN w:val="0"/>
        <w:tabs>
          <w:tab w:pos="3522" w:val="left"/>
          <w:tab w:pos="3544" w:val="left"/>
        </w:tabs>
        <w:autoSpaceDE w:val="0"/>
        <w:widowControl/>
        <w:spacing w:line="257" w:lineRule="auto" w:before="296" w:after="238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a misrepresentation of facts relevant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and the affidavit made under section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21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objections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dissolution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annulment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parties to a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the party who made an objection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fails to satisfy the registering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of the existence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ground for the refusal of an application specified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7, the court may reject such objection by an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in that behalf and shall pronounce a 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recognising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foreign judgment for the dissolution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annulment of a marriage or separation of the parties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marriage in respect of which such application is made.</w:t>
            </w:r>
          </w:p>
        </w:tc>
      </w:tr>
    </w:tbl>
    <w:p>
      <w:pPr>
        <w:autoSpaceDN w:val="0"/>
        <w:tabs>
          <w:tab w:pos="2802" w:val="left"/>
          <w:tab w:pos="3042" w:val="left"/>
        </w:tabs>
        <w:autoSpaceDE w:val="0"/>
        <w:widowControl/>
        <w:spacing w:line="264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marriage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declaration shall have the effect of such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for the dissolution or annulment of a marriage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separation of the parties to a marriage being recognised as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 had been issued by a competent court 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 may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</w:t>
            </w:r>
          </w:p>
          <w:p>
            <w:pPr>
              <w:autoSpaceDN w:val="0"/>
              <w:autoSpaceDE w:val="0"/>
              <w:widowControl/>
              <w:spacing w:line="250" w:lineRule="auto" w:before="42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dissolution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marriages,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&amp;c.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9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84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may grant and apportion costs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 made under section </w:t>
            </w:r>
            <w:r>
              <w:rPr>
                <w:rFonts w:ascii="Times" w:hAnsi="Times" w:eastAsia="Times"/>
                <w:b w:val="0"/>
                <w:i w:val="0"/>
                <w:strike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as the court deems fit.</w:t>
            </w:r>
          </w:p>
          <w:p>
            <w:pPr>
              <w:autoSpaceDN w:val="0"/>
              <w:autoSpaceDE w:val="0"/>
              <w:widowControl/>
              <w:spacing w:line="271" w:lineRule="auto" w:before="31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registering court pronounces a declaration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foreign judgment for the dissolution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annulment of a marriage or separation of the parties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marriage, recognising such judgment in Sri Lanka,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Registrar of the registering court shall send a copy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declaration certified by such Registrar as true copy,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" w:after="25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Registrar-General for the purposes of the Marriage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 Ordinance (Chapter 112).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registering court shall, at any time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judgment, upon application in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duly made by the judgment-debtor or any party whose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Setting aside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</w:t>
            </w:r>
          </w:p>
        </w:tc>
      </w:tr>
    </w:tbl>
    <w:p>
      <w:pPr>
        <w:autoSpaceDN w:val="0"/>
        <w:autoSpaceDE w:val="0"/>
        <w:widowControl/>
        <w:spacing w:line="269" w:lineRule="auto" w:before="2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rights, interests, benefits, title, status or entitlements have </w:t>
      </w:r>
      <w:r>
        <w:rPr>
          <w:rFonts w:ascii="Times" w:hAnsi="Times" w:eastAsia="Times"/>
          <w:b w:val="0"/>
          <w:i w:val="0"/>
          <w:color w:val="000000"/>
          <w:sz w:val="20"/>
        </w:rPr>
        <w:t>been adversely affected, or on its own motion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aside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the judgment, if the registering court is </w:t>
      </w:r>
      <w:r>
        <w:rPr>
          <w:rFonts w:ascii="Times" w:hAnsi="Times" w:eastAsia="Times"/>
          <w:b w:val="0"/>
          <w:i w:val="0"/>
          <w:color w:val="000000"/>
          <w:sz w:val="20"/>
        </w:rPr>
        <w:t>satisfied that –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59" w:lineRule="auto" w:before="308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registered in contravention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(1) of section 5;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69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or sufficient notice has not been given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judgment-debtor in accordance with the law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country of the original court to enable him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defend the proceedings;</w:t>
      </w:r>
    </w:p>
    <w:p>
      <w:pPr>
        <w:autoSpaceDN w:val="0"/>
        <w:tabs>
          <w:tab w:pos="2198" w:val="left"/>
        </w:tabs>
        <w:autoSpaceDE w:val="0"/>
        <w:widowControl/>
        <w:spacing w:line="238" w:lineRule="auto" w:before="308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registered judgment was obtained by fraud;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69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by whom the application for recognition,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and enforcement of the judgment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has not derived any right, interest, benefit,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title, status or entitlement under the judgment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original court;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Enforcement of Foreign Judgments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judgment has been reversed or set aside in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by the original court or a higher court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of the original court in terms of the law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country of the original court.</w:t>
      </w:r>
    </w:p>
    <w:p>
      <w:pPr>
        <w:autoSpaceDN w:val="0"/>
        <w:autoSpaceDE w:val="0"/>
        <w:widowControl/>
        <w:spacing w:line="259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anything to the contrary in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the registering court may, if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considers appropriate, allow the parties to lead evidence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an application to set aside the registration of a </w:t>
      </w:r>
      <w:r>
        <w:rPr>
          <w:rFonts w:ascii="Times" w:hAnsi="Times" w:eastAsia="Times"/>
          <w:b w:val="0"/>
          <w:i w:val="0"/>
          <w:color w:val="000000"/>
          <w:sz w:val="20"/>
        </w:rPr>
        <w:t>judgment under this Act.</w:t>
      </w:r>
    </w:p>
    <w:p>
      <w:pPr>
        <w:autoSpaceDN w:val="0"/>
        <w:autoSpaceDE w:val="0"/>
        <w:widowControl/>
        <w:spacing w:line="257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 389 of the Civil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in respect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set aside the registration of a judgment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57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setting aside of the registration of a judgment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 shall not prevent a fresh application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a judgment being filed in compliance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this Act.</w:t>
      </w:r>
    </w:p>
    <w:p>
      <w:pPr>
        <w:autoSpaceDN w:val="0"/>
        <w:tabs>
          <w:tab w:pos="2802" w:val="left"/>
          <w:tab w:pos="3088" w:val="left"/>
        </w:tabs>
        <w:autoSpaceDE w:val="0"/>
        <w:widowControl/>
        <w:spacing w:line="259" w:lineRule="auto" w:before="27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appeal shall lie against any order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registering court under the provisions of this Act in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application made for the recognition, registration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 of a foreign judgment, other than a judgment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dissolution or annulment of a marriage or separation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parties to a marriage.</w:t>
      </w:r>
    </w:p>
    <w:p>
      <w:pPr>
        <w:autoSpaceDN w:val="0"/>
        <w:autoSpaceDE w:val="0"/>
        <w:widowControl/>
        <w:spacing w:line="266" w:lineRule="auto" w:before="27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party who is dissatisfied with any recognition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or any order made by the registering court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in respect of an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recognition, registration and enforcement of a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for the dissolution or annulment of a marriage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separation of the parties to a marriage, may appeal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High Court established by Article 154P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with leave first had and obtained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High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0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Making separate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registration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dissolution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marriage,</w:t>
            </w:r>
          </w:p>
        </w:tc>
      </w:tr>
      <w:tr>
        <w:trPr>
          <w:trHeight w:hRule="exact" w:val="22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autoSpaceDE w:val="0"/>
              <w:widowControl/>
              <w:spacing w:line="271" w:lineRule="auto" w:before="106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both parties to a foreign judgment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dissolution or annulment of a marriage or separation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parties to a marriage have made separate applications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recognition and registration of the same judgment,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registering court shall consolidate both such applications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make an order in the same proceedings.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&amp;c</w:t>
      </w:r>
    </w:p>
    <w:p>
      <w:pPr>
        <w:autoSpaceDN w:val="0"/>
        <w:autoSpaceDE w:val="0"/>
        <w:widowControl/>
        <w:spacing w:line="238" w:lineRule="auto" w:before="474" w:after="0"/>
        <w:ind w:left="0" w:right="4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306" w:after="246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From and after the date on which an Order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of section 2 is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proceedings for the recognition, 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enforcement of a judgment of a court of such foreign country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entertained by any court in Sri Lanka, except in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registered, not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enforceable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otherwise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2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accordance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contained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Jurisdiction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 for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recognition,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application for the recognition,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enforcement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 judgment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which the provisions of this Act apply, other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judgments</w:t>
            </w:r>
          </w:p>
        </w:tc>
      </w:tr>
    </w:tbl>
    <w:p>
      <w:pPr>
        <w:autoSpaceDN w:val="0"/>
        <w:autoSpaceDE w:val="0"/>
        <w:widowControl/>
        <w:spacing w:line="271" w:lineRule="auto" w:before="18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judgment for the dissolution or annulment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marriage or separation of the parties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marriage, the District Court of Colombo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as may be designated by the Minister by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an application for the recognition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registration of a foreign judgment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dissolution or annulment of a marriage or separation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</w:tbl>
    <w:p>
      <w:pPr>
        <w:autoSpaceDN w:val="0"/>
        <w:autoSpaceDE w:val="0"/>
        <w:widowControl/>
        <w:spacing w:line="257" w:lineRule="auto" w:before="36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to which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apply, the District Court of Colombo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District Court within the local limits of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 any party to such judgment resides,</w:t>
      </w:r>
    </w:p>
    <w:p>
      <w:pPr>
        <w:autoSpaceDN w:val="0"/>
        <w:autoSpaceDE w:val="0"/>
        <w:widowControl/>
        <w:spacing w:line="254" w:lineRule="auto" w:before="282" w:after="222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the jurisdiction, cognizance of, and full power,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manner provided for by this Act and the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20 to hear and determine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Civil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Code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8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Service of summons, notices or any other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recognition, registration and enforcement,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be, of foreign judgments under this Act shall be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in the manner provided for in Chapters VIII and XXII </w:t>
      </w:r>
      <w:r>
        <w:rPr>
          <w:rFonts w:ascii="Times" w:hAnsi="Times" w:eastAsia="Times"/>
          <w:b w:val="0"/>
          <w:i w:val="0"/>
          <w:color w:val="000000"/>
          <w:sz w:val="20"/>
        </w:rPr>
        <w:t>of the Civil Procedure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Language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produced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the language of a judgment of a court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country specified in the Order made under section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in a language other than the English language,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 shall be accompanied by a translation thereof in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language used by the registering court as the language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court and made and signed by an interpreter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Supreme Court, the Court of Appeal or the High Court, or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sworn translator or an interpreter of any District Court,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Family Court, Magistrate’s Court or Primary Court, or by a </w:t>
      </w:r>
      <w:r>
        <w:rPr>
          <w:rFonts w:ascii="Times" w:hAnsi="Times" w:eastAsia="Times"/>
          <w:b w:val="0"/>
          <w:i w:val="0"/>
          <w:color w:val="000000"/>
          <w:sz w:val="20"/>
        </w:rPr>
        <w:t>sworn translator.</w:t>
      </w:r>
    </w:p>
    <w:p>
      <w:pPr>
        <w:autoSpaceDN w:val="0"/>
        <w:autoSpaceDE w:val="0"/>
        <w:widowControl/>
        <w:spacing w:line="259" w:lineRule="auto" w:before="282" w:after="21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For the purposes of this section, “sworn translator”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a translator who has taken and subscribed the oath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and subscribed the affirmation before a District Judge </w:t>
      </w:r>
      <w:r>
        <w:rPr>
          <w:rFonts w:ascii="Times" w:hAnsi="Times" w:eastAsia="Times"/>
          <w:b w:val="0"/>
          <w:i w:val="0"/>
          <w:color w:val="000000"/>
          <w:sz w:val="20"/>
        </w:rPr>
        <w:t>of a District Court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6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Making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facts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affidavits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8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who willfully and dishonestly makes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false statement of facts in an affidavit made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commits an offence and shall, on conviction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Magistrate’s Court,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liable to a fine not less than two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2736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rupees or to imprisonment for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not less than one year,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Casus omissus</w:t>
            </w:r>
          </w:p>
          <w:p>
            <w:pPr>
              <w:autoSpaceDN w:val="0"/>
              <w:autoSpaceDE w:val="0"/>
              <w:widowControl/>
              <w:spacing w:line="235" w:lineRule="auto" w:before="11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7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any matter or question of procedure not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in this Act, the procedure laid down in the Civil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Code in respect of a like matter or question shall be followed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court if such procedure is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36" w:right="102" w:firstLine="28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may, from time to time, make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Act, in respect of all matters for which rules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or required to be made for the purpose of giving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to the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15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provisions of subsection (1), rules may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>respect of the following matters: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06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8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4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6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filing of an application for the recognition,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and enforcement of a 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judgment,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setting aside of a registered judgment and 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used for such purposes;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 of facts that the affidavits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contain;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prescribing the documents that shall accompany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filed under this Act;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tendering of security when applying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recognition,  registration and enforcement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judgment;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manner of serving the notice of 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content of such notice;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6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time limits expressly provided for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time limits for performing any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performed under this Act;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96" w:right="13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prescribing the method by which any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payable under a foreign judgment under the law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country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 court is to be determined;</w:t>
            </w:r>
          </w:p>
          <w:p>
            <w:pPr>
              <w:autoSpaceDN w:val="0"/>
              <w:autoSpaceDE w:val="0"/>
              <w:widowControl/>
              <w:spacing w:line="238" w:lineRule="auto" w:before="2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matters relating to the award of costs;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Enforcement of Foreign Judgments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 which is required to be prescribed</w:t>
            </w:r>
          </w:p>
        </w:tc>
      </w:tr>
    </w:tbl>
    <w:p>
      <w:pPr>
        <w:autoSpaceDN w:val="0"/>
        <w:autoSpaceDE w:val="0"/>
        <w:widowControl/>
        <w:spacing w:line="247" w:lineRule="auto" w:before="14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in order to achieve the objectives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54" w:lineRule="auto" w:before="27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made by the Minister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from the date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publication or on another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rule.</w:t>
      </w:r>
    </w:p>
    <w:p>
      <w:pPr>
        <w:autoSpaceDN w:val="0"/>
        <w:tabs>
          <w:tab w:pos="3042" w:val="left"/>
        </w:tabs>
        <w:autoSpaceDE w:val="0"/>
        <w:widowControl/>
        <w:spacing w:line="238" w:lineRule="auto" w:before="27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Repeals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With effect from the appointed date-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47" w:lineRule="auto" w:before="27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Enforcement of Foreign Judgments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93); and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50" w:lineRule="auto" w:before="27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Reciprocal Enforcement of Judgments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94),</w:t>
      </w:r>
    </w:p>
    <w:p>
      <w:pPr>
        <w:autoSpaceDN w:val="0"/>
        <w:autoSpaceDE w:val="0"/>
        <w:widowControl/>
        <w:spacing w:line="238" w:lineRule="auto" w:before="272" w:after="212"/>
        <w:ind w:left="0" w:right="4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stand repealed.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90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30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the repeal of the Reciprocal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Enforcement of Judgments Ordinance (Chapter 94) (in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referred to as the “repealed Ordinance”)-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Order made under section 6 of the repealed</w:t>
            </w:r>
          </w:p>
        </w:tc>
      </w:tr>
    </w:tbl>
    <w:p>
      <w:pPr>
        <w:autoSpaceDN w:val="0"/>
        <w:autoSpaceDE w:val="0"/>
        <w:widowControl/>
        <w:spacing w:line="257" w:lineRule="auto" w:before="10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and in force on the day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be valid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 in respect of the judgments of the courts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in such Order, until an Order is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this Act extending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to the judgments of the corresponding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courts;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62" w:lineRule="auto" w:before="27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applications filed and proceedings instituted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Ordinance and pending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proceeded with and concluded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repealed Ordinance;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Recognition, Registration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76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216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  <w:p>
            <w:pPr>
              <w:autoSpaceDN w:val="0"/>
              <w:autoSpaceDE w:val="0"/>
              <w:widowControl/>
              <w:spacing w:line="235" w:lineRule="auto" w:before="8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judgments, decrees or orders entered into 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the repealed Ordinance and remaining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unsatisfied either wholly or partially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proceeded with and concluded under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repealed Ordinance.</w:t>
      </w:r>
    </w:p>
    <w:p>
      <w:pPr>
        <w:autoSpaceDN w:val="0"/>
        <w:tabs>
          <w:tab w:pos="6496" w:val="left"/>
        </w:tabs>
        <w:autoSpaceDE w:val="0"/>
        <w:widowControl/>
        <w:spacing w:line="252" w:lineRule="auto" w:before="296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23.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66" w:lineRule="auto" w:before="282" w:after="0"/>
        <w:ind w:left="24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“applicant” for the purposes of this Act, includes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judgment-creditor or any person who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derived any right, interest, benefit, title, status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entitlement under the judgment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court, as at the date of the judgment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thereafter;</w:t>
      </w:r>
    </w:p>
    <w:p>
      <w:pPr>
        <w:autoSpaceDN w:val="0"/>
        <w:tabs>
          <w:tab w:pos="2476" w:val="left"/>
        </w:tabs>
        <w:autoSpaceDE w:val="0"/>
        <w:widowControl/>
        <w:spacing w:line="257" w:lineRule="auto" w:before="298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(Chapter 101);</w:t>
      </w:r>
    </w:p>
    <w:p>
      <w:pPr>
        <w:autoSpaceDN w:val="0"/>
        <w:tabs>
          <w:tab w:pos="2476" w:val="left"/>
        </w:tabs>
        <w:autoSpaceDE w:val="0"/>
        <w:widowControl/>
        <w:spacing w:line="254" w:lineRule="auto" w:before="296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“country of the original court” means the country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original court is situated;</w:t>
      </w:r>
    </w:p>
    <w:p>
      <w:pPr>
        <w:autoSpaceDN w:val="0"/>
        <w:autoSpaceDE w:val="0"/>
        <w:widowControl/>
        <w:spacing w:line="269" w:lineRule="auto" w:before="298" w:after="0"/>
        <w:ind w:left="2476" w:right="276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“dissolution or annulment of a marriage or separation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marriage” means any divorce,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annulment of a marriage or judicial separation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parties to a marriage obtained by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proceedings in a competent court of law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specified by the Minister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 of this Act;</w:t>
      </w:r>
    </w:p>
    <w:p>
      <w:pPr>
        <w:autoSpaceDN w:val="0"/>
        <w:tabs>
          <w:tab w:pos="2476" w:val="left"/>
        </w:tabs>
        <w:autoSpaceDE w:val="0"/>
        <w:widowControl/>
        <w:spacing w:line="254" w:lineRule="auto" w:before="296" w:after="0"/>
        <w:ind w:left="19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“domiciled in a country” means domiciled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law of that country;</w:t>
      </w:r>
    </w:p>
    <w:p>
      <w:pPr>
        <w:autoSpaceDN w:val="0"/>
        <w:autoSpaceDE w:val="0"/>
        <w:widowControl/>
        <w:spacing w:line="262" w:lineRule="auto" w:before="296" w:after="0"/>
        <w:ind w:left="2476" w:right="276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“judgment” means a judgment, decree or order given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made by a competent court of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which has been specified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2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288" w:right="86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</w:tr>
    </w:tbl>
    <w:p>
      <w:pPr>
        <w:autoSpaceDN w:val="0"/>
        <w:autoSpaceDE w:val="0"/>
        <w:widowControl/>
        <w:spacing w:line="259" w:lineRule="auto" w:before="40" w:after="0"/>
        <w:ind w:left="380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section 2 of this Act, but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judgment, decree or order given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made-</w:t>
      </w:r>
    </w:p>
    <w:p>
      <w:pPr>
        <w:autoSpaceDN w:val="0"/>
        <w:tabs>
          <w:tab w:pos="4942" w:val="left"/>
        </w:tabs>
        <w:autoSpaceDE w:val="0"/>
        <w:widowControl/>
        <w:spacing w:line="257" w:lineRule="auto" w:before="278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any foreign country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an Order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2;</w:t>
      </w:r>
    </w:p>
    <w:p>
      <w:pPr>
        <w:autoSpaceDN w:val="0"/>
        <w:tabs>
          <w:tab w:pos="4942" w:val="left"/>
        </w:tabs>
        <w:autoSpaceDE w:val="0"/>
        <w:widowControl/>
        <w:spacing w:line="252" w:lineRule="auto" w:before="28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property settlement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any matrimonial matter;</w:t>
      </w:r>
    </w:p>
    <w:p>
      <w:pPr>
        <w:autoSpaceDN w:val="0"/>
        <w:tabs>
          <w:tab w:pos="4942" w:val="left"/>
        </w:tabs>
        <w:autoSpaceDE w:val="0"/>
        <w:widowControl/>
        <w:spacing w:line="250" w:lineRule="auto" w:before="280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insolvency;</w:t>
      </w:r>
    </w:p>
    <w:p>
      <w:pPr>
        <w:autoSpaceDN w:val="0"/>
        <w:tabs>
          <w:tab w:pos="4942" w:val="left"/>
        </w:tabs>
        <w:autoSpaceDE w:val="0"/>
        <w:widowControl/>
        <w:spacing w:line="252" w:lineRule="auto" w:before="28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winding-up of companies;</w:t>
      </w:r>
    </w:p>
    <w:p>
      <w:pPr>
        <w:autoSpaceDN w:val="0"/>
        <w:tabs>
          <w:tab w:pos="4942" w:val="left"/>
        </w:tabs>
        <w:autoSpaceDE w:val="0"/>
        <w:widowControl/>
        <w:spacing w:line="250" w:lineRule="auto" w:before="280" w:after="0"/>
        <w:ind w:left="4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unsoundness of mind;</w:t>
      </w:r>
    </w:p>
    <w:p>
      <w:pPr>
        <w:autoSpaceDN w:val="0"/>
        <w:tabs>
          <w:tab w:pos="4942" w:val="left"/>
          <w:tab w:pos="6444" w:val="left"/>
          <w:tab w:pos="7402" w:val="left"/>
        </w:tabs>
        <w:autoSpaceDE w:val="0"/>
        <w:widowControl/>
        <w:spacing w:line="259" w:lineRule="auto" w:before="282" w:after="0"/>
        <w:ind w:left="4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guardianship,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a minor,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curatorship of the estate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minor; or</w:t>
      </w:r>
    </w:p>
    <w:p>
      <w:pPr>
        <w:autoSpaceDN w:val="0"/>
        <w:tabs>
          <w:tab w:pos="4942" w:val="left"/>
        </w:tabs>
        <w:autoSpaceDE w:val="0"/>
        <w:widowControl/>
        <w:spacing w:line="257" w:lineRule="auto" w:before="282" w:after="0"/>
        <w:ind w:left="42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proceedings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guardianship and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estate of a person of unsound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autoSpaceDE w:val="0"/>
        <w:widowControl/>
        <w:spacing w:line="262" w:lineRule="auto" w:before="282" w:after="0"/>
        <w:ind w:left="3802" w:right="14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“judgment-creditor” means the person in whose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the judgment was given and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derived any right,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benefit, title, status or entitlement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judgment sought to be registered in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742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08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50" w:lineRule="auto" w:before="52" w:after="0"/>
        <w:ind w:left="24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“judgment-debtor” means the person against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judgment was given and includes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against whom the judgment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enforceable;</w:t>
      </w:r>
    </w:p>
    <w:p>
      <w:pPr>
        <w:autoSpaceDN w:val="0"/>
        <w:autoSpaceDE w:val="0"/>
        <w:widowControl/>
        <w:spacing w:line="250" w:lineRule="auto" w:before="262" w:after="0"/>
        <w:ind w:left="24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Justice in terms of Article 44 or 45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p>
      <w:pPr>
        <w:autoSpaceDN w:val="0"/>
        <w:autoSpaceDE w:val="0"/>
        <w:widowControl/>
        <w:spacing w:line="252" w:lineRule="auto" w:before="260" w:after="0"/>
        <w:ind w:left="2458" w:right="278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“original court” in relation to any judgment,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by which the judgment was given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higher court which has affirmed or entered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judgment in the exercise of appellate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jurisdiction;</w:t>
      </w:r>
    </w:p>
    <w:p>
      <w:pPr>
        <w:autoSpaceDN w:val="0"/>
        <w:tabs>
          <w:tab w:pos="2458" w:val="left"/>
        </w:tabs>
        <w:autoSpaceDE w:val="0"/>
        <w:widowControl/>
        <w:spacing w:line="247" w:lineRule="auto" w:before="260" w:after="0"/>
        <w:ind w:left="19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 prescribed by rules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p>
      <w:pPr>
        <w:autoSpaceDN w:val="0"/>
        <w:autoSpaceDE w:val="0"/>
        <w:widowControl/>
        <w:spacing w:line="235" w:lineRule="auto" w:before="260" w:after="0"/>
        <w:ind w:left="19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“registering court”-</w:t>
      </w:r>
    </w:p>
    <w:p>
      <w:pPr>
        <w:autoSpaceDN w:val="0"/>
        <w:tabs>
          <w:tab w:pos="3598" w:val="left"/>
          <w:tab w:pos="3616" w:val="left"/>
        </w:tabs>
        <w:autoSpaceDE w:val="0"/>
        <w:widowControl/>
        <w:spacing w:line="252" w:lineRule="auto" w:before="260" w:after="0"/>
        <w:ind w:left="31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 judgment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judgment  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or separation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 marriage, means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of Colombo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court as may be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by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; and</w:t>
      </w:r>
    </w:p>
    <w:p>
      <w:pPr>
        <w:autoSpaceDN w:val="0"/>
        <w:tabs>
          <w:tab w:pos="3596" w:val="left"/>
          <w:tab w:pos="3616" w:val="left"/>
        </w:tabs>
        <w:autoSpaceDE w:val="0"/>
        <w:widowControl/>
        <w:spacing w:line="262" w:lineRule="auto" w:before="260" w:after="0"/>
        <w:ind w:left="319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 judgment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or annulment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or separation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 marriage, means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of Colombo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Court within the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limits of whose jurisdiction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party to such judgment resides.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115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Enforcement of Foreign Judgments</w:t>
            </w:r>
          </w:p>
        </w:tc>
      </w:tr>
      <w:tr>
        <w:trPr>
          <w:trHeight w:hRule="exact" w:val="8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  <w:tab w:pos="1888" w:val="left"/>
              </w:tabs>
              <w:autoSpaceDE w:val="0"/>
              <w:widowControl/>
              <w:spacing w:line="278" w:lineRule="auto" w:before="6" w:after="0"/>
              <w:ind w:left="142" w:right="576" w:firstLine="0"/>
              <w:jc w:val="left"/>
            </w:pP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Act, No. 49 of 2024 </w:t>
            </w:r>
            <w:r>
              <w:br/>
            </w: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626"/>
        </w:trPr>
        <w:tc>
          <w:tcPr>
            <w:tcW w:type="dxa" w:w="44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72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Reciprocal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Recognition, Registration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Enforcement of Foreign Judgments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49 of 2024</w:t>
            </w:r>
          </w:p>
        </w:tc>
        <w:tc>
          <w:tcPr>
            <w:tcW w:type="dxa" w:w="18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245" w:lineRule="auto" w:before="32" w:after="0"/>
        <w:ind w:left="1440" w:right="1296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PRINTING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