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42"/>
        <w:ind w:left="0" w:right="0"/>
      </w:pPr>
    </w:p>
    <w:p>
      <w:pPr>
        <w:autoSpaceDN w:val="0"/>
        <w:autoSpaceDE w:val="0"/>
        <w:widowControl/>
        <w:spacing w:line="360" w:lineRule="exact" w:before="56" w:after="0"/>
        <w:ind w:left="1728" w:right="1584" w:firstLine="0"/>
        <w:jc w:val="center"/>
      </w:pPr>
      <w:r>
        <w:rPr>
          <w:rFonts w:ascii="TimesNewRoman,Bold" w:hAnsi="TimesNewRoman,Bold" w:eastAsia="TimesNewRoman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NewRoman,Bold" w:hAnsi="TimesNewRoman,Bold" w:eastAsia="TimesNewRoman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NewRoman,Bold" w:hAnsi="TimesNewRoman,Bold" w:eastAsia="TimesNewRoman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570" w:lineRule="exact" w:before="50" w:after="0"/>
        <w:ind w:left="3024" w:right="2880" w:firstLine="0"/>
        <w:jc w:val="center"/>
      </w:pP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 xml:space="preserve">Part II of February 15, 2019 </w:t>
      </w:r>
      <w:r>
        <w:br/>
      </w: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 xml:space="preserve">SUPPLEMENT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4"/>
        </w:rPr>
        <w:t>(</w:t>
      </w:r>
      <w:r>
        <w:rPr>
          <w:rFonts w:ascii="TimesNewRoman,Italic" w:hAnsi="TimesNewRoman,Italic" w:eastAsia="TimesNewRoman,Italic"/>
          <w:b w:val="0"/>
          <w:i/>
          <w:color w:val="221F1F"/>
          <w:sz w:val="24"/>
        </w:rPr>
        <w:t>Issued on 15.02.2019</w:t>
      </w:r>
      <w:r>
        <w:rPr>
          <w:rFonts w:ascii="TimesNewRoman" w:hAnsi="TimesNewRoman" w:eastAsia="TimesNewRoman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314" w:after="0"/>
        <w:ind w:left="0" w:right="382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534" w:lineRule="exact" w:before="190" w:after="0"/>
        <w:ind w:left="2736" w:right="2592" w:firstLine="0"/>
        <w:jc w:val="center"/>
      </w:pPr>
      <w:r>
        <w:rPr>
          <w:rFonts w:ascii="TimesNewRoman,Bold" w:hAnsi="TimesNewRoman,Bold" w:eastAsia="TimesNewRoman,Bold"/>
          <w:b/>
          <w:i w:val="0"/>
          <w:color w:val="221F1F"/>
          <w:sz w:val="26"/>
        </w:rPr>
        <w:t xml:space="preserve">JUDICATURE (AMENDMENT) </w:t>
      </w:r>
      <w:r>
        <w:br/>
      </w: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 xml:space="preserve">A </w:t>
      </w:r>
      <w:r>
        <w:br/>
      </w: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 xml:space="preserve">BILL </w:t>
      </w:r>
      <w:r>
        <w:br/>
      </w: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>to amend the Judicature Act, No. 2 of 1978</w:t>
      </w:r>
    </w:p>
    <w:p>
      <w:pPr>
        <w:autoSpaceDN w:val="0"/>
        <w:autoSpaceDE w:val="0"/>
        <w:widowControl/>
        <w:spacing w:line="244" w:lineRule="exact" w:before="388" w:after="0"/>
        <w:ind w:left="0" w:right="0" w:firstLine="0"/>
        <w:jc w:val="center"/>
      </w:pP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Ordered to be published by the Minister of Justice and Prison Reforms</w:t>
      </w:r>
    </w:p>
    <w:p>
      <w:pPr>
        <w:autoSpaceDN w:val="0"/>
        <w:autoSpaceDE w:val="0"/>
        <w:widowControl/>
        <w:spacing w:line="235" w:lineRule="auto" w:before="620" w:after="0"/>
        <w:ind w:left="0" w:right="247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5" w:lineRule="auto" w:before="12" w:after="0"/>
        <w:ind w:left="0" w:right="225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84" w:val="left"/>
        </w:tabs>
        <w:autoSpaceDE w:val="0"/>
        <w:widowControl/>
        <w:spacing w:line="238" w:lineRule="auto" w:before="152" w:after="0"/>
        <w:ind w:left="144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20" w:val="left"/>
        </w:tabs>
        <w:autoSpaceDE w:val="0"/>
        <w:widowControl/>
        <w:spacing w:line="240" w:lineRule="auto" w:before="152" w:after="0"/>
        <w:ind w:left="144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2"/>
        <w:ind w:left="0" w:right="0"/>
      </w:pPr>
    </w:p>
    <w:p>
      <w:pPr>
        <w:autoSpaceDN w:val="0"/>
        <w:autoSpaceDE w:val="0"/>
        <w:widowControl/>
        <w:spacing w:line="238" w:lineRule="auto" w:before="0" w:after="0"/>
        <w:ind w:left="0" w:right="341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STATEMENT OF LEGAL EFFECT</w:t>
      </w:r>
    </w:p>
    <w:p>
      <w:pPr>
        <w:autoSpaceDN w:val="0"/>
        <w:autoSpaceDE w:val="0"/>
        <w:widowControl/>
        <w:spacing w:line="257" w:lineRule="auto" w:before="216" w:after="0"/>
        <w:ind w:left="1342" w:right="1436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2: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section 45 of the Judicature Act, No. 2 of 1978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effect of the section as amended is to enable Justices of Peace to be appointed for any Administrative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District and to deem all those who have been appointed to any zone, district or division prior to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coming into operation of this proviso to have been appointed to such Administrative District,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containing the Divisional Secretary’s Division within which the residence of such Justice of the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Peace was situated at the time of appointment and to enable the Minister to make regulations for </w:t>
      </w:r>
      <w:r>
        <w:rPr>
          <w:rFonts w:ascii="Times" w:hAnsi="Times" w:eastAsia="Times"/>
          <w:b w:val="0"/>
          <w:i w:val="0"/>
          <w:color w:val="221F1F"/>
          <w:sz w:val="16"/>
        </w:rPr>
        <w:t>the suspension, cancellation and termination of office of Justices of Peace.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tabs>
          <w:tab w:pos="3208" w:val="left"/>
        </w:tabs>
        <w:autoSpaceDE w:val="0"/>
        <w:widowControl/>
        <w:spacing w:line="400" w:lineRule="exact" w:before="0" w:after="0"/>
        <w:ind w:left="1798" w:right="288" w:firstLine="0"/>
        <w:jc w:val="left"/>
      </w:pPr>
      <w:r>
        <w:tab/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 xml:space="preserve">Judicature (Amendment) </w:t>
      </w:r>
      <w:r>
        <w:rPr>
          <w:rFonts w:ascii="Times" w:hAnsi="Times" w:eastAsia="Times"/>
          <w:b w:val="0"/>
          <w:i w:val="0"/>
          <w:color w:val="000000"/>
          <w:sz w:val="20"/>
        </w:rPr>
        <w:t>L. D.—O. 33/ 2017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5602" w:space="0"/>
            <w:col w:w="3417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400" w:after="550"/>
        <w:ind w:left="0" w:right="2424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1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5602" w:space="0"/>
            <w:col w:w="3417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auto" w:before="0" w:after="0"/>
        <w:ind w:left="203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J</w:t>
      </w:r>
      <w:r>
        <w:rPr>
          <w:rFonts w:ascii="Times" w:hAnsi="Times" w:eastAsia="Times"/>
          <w:b w:val="0"/>
          <w:i w:val="0"/>
          <w:color w:val="000000"/>
          <w:sz w:val="14"/>
        </w:rPr>
        <w:t>UDICATURE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2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1978</w:t>
      </w:r>
    </w:p>
    <w:p>
      <w:pPr>
        <w:autoSpaceDN w:val="0"/>
        <w:autoSpaceDE w:val="0"/>
        <w:widowControl/>
        <w:spacing w:line="262" w:lineRule="auto" w:before="322" w:after="252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the Judicature (Amendment)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Short title.</w:t>
            </w:r>
          </w:p>
        </w:tc>
      </w:tr>
    </w:tbl>
    <w:p>
      <w:pPr>
        <w:autoSpaceDN w:val="0"/>
        <w:autoSpaceDE w:val="0"/>
        <w:widowControl/>
        <w:spacing w:line="238" w:lineRule="auto" w:before="24" w:after="226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Act, No.      of 2019.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31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9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45 of the Judicature Act, No. 2 of 1978 is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 of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hereby amended as follows:—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section 45 of</w:t>
            </w:r>
          </w:p>
        </w:tc>
      </w:tr>
      <w:tr>
        <w:trPr>
          <w:trHeight w:hRule="exact" w:val="20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Act, No. 2 of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19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1978.</w:t>
      </w:r>
    </w:p>
    <w:p>
      <w:pPr>
        <w:autoSpaceDN w:val="0"/>
        <w:tabs>
          <w:tab w:pos="2516" w:val="left"/>
          <w:tab w:pos="2518" w:val="left"/>
        </w:tabs>
        <w:autoSpaceDE w:val="0"/>
        <w:widowControl/>
        <w:spacing w:line="269" w:lineRule="auto" w:before="32" w:after="232"/>
        <w:ind w:left="215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repeal of subsection (2) of that section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substitution therefor of the following new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subsection:—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44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40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“(2)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Minister may, from time to time by notice</w:t>
            </w:r>
          </w:p>
        </w:tc>
      </w:tr>
    </w:tbl>
    <w:p>
      <w:pPr>
        <w:autoSpaceDN w:val="0"/>
        <w:tabs>
          <w:tab w:pos="2998" w:val="left"/>
        </w:tabs>
        <w:autoSpaceDE w:val="0"/>
        <w:widowControl/>
        <w:spacing w:line="268" w:lineRule="exact" w:before="0" w:after="0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Gazette,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appoint such persons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shall be named in such notice to be Justices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Peace for the Republic of Sri Lanka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any administrative district as to the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Minister shall seem expedient:</w:t>
      </w:r>
    </w:p>
    <w:p>
      <w:pPr>
        <w:autoSpaceDN w:val="0"/>
        <w:autoSpaceDE w:val="0"/>
        <w:widowControl/>
        <w:spacing w:line="269" w:lineRule="auto" w:before="320" w:after="24"/>
        <w:ind w:left="2998" w:right="2422" w:firstLine="19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where any appointment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any Justice of the Peace has been made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prior to the date of coming into operation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50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22" w:after="0"/>
              <w:ind w:left="6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this proviso for any zone, district or division,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appointment shall be deemed to have</w:t>
            </w:r>
          </w:p>
        </w:tc>
      </w:tr>
    </w:tbl>
    <w:p>
      <w:pPr>
        <w:autoSpaceDN w:val="0"/>
        <w:tabs>
          <w:tab w:pos="2998" w:val="left"/>
        </w:tabs>
        <w:autoSpaceDE w:val="0"/>
        <w:widowControl/>
        <w:spacing w:line="270" w:lineRule="exact" w:before="0" w:after="0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been made for the relevant administrative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district containing the Divisional Secretary’s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Division within which the residence of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Justice of the Peace was situated at the time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appointment for such zone, district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division.”.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5602" w:space="0"/>
            <w:col w:w="3417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3007"/>
        <w:gridCol w:w="3007"/>
        <w:gridCol w:w="3007"/>
      </w:tblGrid>
      <w:tr>
        <w:trPr>
          <w:trHeight w:hRule="exact" w:val="40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8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786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>Judicature (Amendment)</w:t>
            </w:r>
          </w:p>
        </w:tc>
      </w:tr>
      <w:tr>
        <w:trPr>
          <w:trHeight w:hRule="exact" w:val="41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insertion of the following new subsection</w:t>
            </w:r>
          </w:p>
        </w:tc>
      </w:tr>
    </w:tbl>
    <w:p>
      <w:pPr>
        <w:autoSpaceDN w:val="0"/>
        <w:autoSpaceDE w:val="0"/>
        <w:widowControl/>
        <w:spacing w:line="238" w:lineRule="auto" w:before="14" w:after="0"/>
        <w:ind w:left="0" w:right="38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immediately after subsection (2):—</w:t>
      </w:r>
    </w:p>
    <w:p>
      <w:pPr>
        <w:autoSpaceDN w:val="0"/>
        <w:tabs>
          <w:tab w:pos="2796" w:val="left"/>
        </w:tabs>
        <w:autoSpaceDE w:val="0"/>
        <w:widowControl/>
        <w:spacing w:line="238" w:lineRule="auto" w:before="292" w:after="0"/>
        <w:ind w:left="21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“(2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For the purposes of this section</w:t>
      </w:r>
    </w:p>
    <w:p>
      <w:pPr>
        <w:autoSpaceDN w:val="0"/>
        <w:autoSpaceDE w:val="0"/>
        <w:widowControl/>
        <w:spacing w:line="238" w:lineRule="auto" w:before="36" w:after="0"/>
        <w:ind w:left="0" w:right="26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“administrative district” shall mean an</w:t>
      </w:r>
    </w:p>
    <w:p>
      <w:pPr>
        <w:autoSpaceDN w:val="0"/>
        <w:tabs>
          <w:tab w:pos="2796" w:val="left"/>
        </w:tabs>
        <w:autoSpaceDE w:val="0"/>
        <w:widowControl/>
        <w:spacing w:line="268" w:lineRule="exact" w:before="8" w:after="0"/>
        <w:ind w:left="135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administrative district established under the</w:t>
      </w:r>
    </w:p>
    <w:p>
      <w:pPr>
        <w:autoSpaceDN w:val="0"/>
        <w:autoSpaceDE w:val="0"/>
        <w:widowControl/>
        <w:spacing w:line="238" w:lineRule="auto" w:before="24" w:after="0"/>
        <w:ind w:left="0" w:right="26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Administrative Districts Act (Chapter 392).”.</w:t>
      </w:r>
    </w:p>
    <w:p>
      <w:pPr>
        <w:autoSpaceDN w:val="0"/>
        <w:tabs>
          <w:tab w:pos="2316" w:val="left"/>
        </w:tabs>
        <w:autoSpaceDE w:val="0"/>
        <w:widowControl/>
        <w:spacing w:line="238" w:lineRule="auto" w:before="296" w:after="0"/>
        <w:ind w:left="18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by the insertion of the following subsection</w:t>
      </w:r>
    </w:p>
    <w:p>
      <w:pPr>
        <w:autoSpaceDN w:val="0"/>
        <w:autoSpaceDE w:val="0"/>
        <w:widowControl/>
        <w:spacing w:line="235" w:lineRule="auto" w:before="32" w:after="232"/>
        <w:ind w:left="0" w:right="38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immediately after subsection (5):—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6" w:after="0"/>
              <w:ind w:left="0" w:right="41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“(6)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Minister may make regulations for the</w:t>
            </w:r>
          </w:p>
        </w:tc>
      </w:tr>
      <w:tr>
        <w:trPr>
          <w:trHeight w:hRule="exact" w:val="2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suspension, cancellation and termination of</w:t>
            </w:r>
          </w:p>
        </w:tc>
      </w:tr>
    </w:tbl>
    <w:p>
      <w:pPr>
        <w:autoSpaceDN w:val="0"/>
        <w:autoSpaceDE w:val="0"/>
        <w:widowControl/>
        <w:spacing w:line="235" w:lineRule="auto" w:before="8" w:after="228"/>
        <w:ind w:left="0" w:right="35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office of a Justice of the Peace.”.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9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 Sinhala</w:t>
            </w:r>
          </w:p>
        </w:tc>
        <w:tc>
          <w:tcPr>
            <w:tcW w:type="dxa" w:w="1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76" w:right="770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prevail in case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386"/>
        </w:trPr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8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6" w:after="0"/>
        <w:ind w:left="0" w:right="15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5602" w:space="0"/>
            <w:col w:w="3417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26"/>
        <w:ind w:left="0" w:right="0"/>
      </w:pPr>
    </w:p>
    <w:p>
      <w:pPr>
        <w:autoSpaceDN w:val="0"/>
        <w:autoSpaceDE w:val="0"/>
        <w:widowControl/>
        <w:spacing w:line="6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00.0" w:type="dxa"/>
      </w:tblPr>
      <w:tblGrid>
        <w:gridCol w:w="4510"/>
        <w:gridCol w:w="4510"/>
      </w:tblGrid>
      <w:tr>
        <w:trPr>
          <w:trHeight w:hRule="exact" w:val="386"/>
        </w:trPr>
        <w:tc>
          <w:tcPr>
            <w:tcW w:type="dxa" w:w="4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80" w:after="0"/>
              <w:ind w:left="0" w:right="654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>Judicature (Amendment)</w:t>
            </w:r>
          </w:p>
        </w:tc>
        <w:tc>
          <w:tcPr>
            <w:tcW w:type="dxa" w:w="19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120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38" w:lineRule="auto" w:before="9136" w:after="0"/>
        <w:ind w:left="0" w:right="321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5602" w:space="0"/>
        <w:col w:w="3417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