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>COMPANIES  (AMENDMENT)</w:t>
      </w:r>
    </w:p>
    <w:p>
      <w:pPr>
        <w:autoSpaceDN w:val="0"/>
        <w:autoSpaceDE w:val="0"/>
        <w:widowControl/>
        <w:spacing w:line="238" w:lineRule="auto" w:before="39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0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38" w:lineRule="auto" w:before="1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4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Tharaka Balasuriya, M. P. for Kegalle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12th of March, 2019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25, 2019)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6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274]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2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p>
      <w:pPr>
        <w:autoSpaceDN w:val="0"/>
        <w:tabs>
          <w:tab w:pos="6718" w:val="left"/>
        </w:tabs>
        <w:autoSpaceDE w:val="0"/>
        <w:widowControl/>
        <w:spacing w:line="259" w:lineRule="auto" w:before="28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Sri Lankan Constitution guarantees for equal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for women to fulfill their potential and compete on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fair playing field that takes into account their unique roles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requirments:</w:t>
      </w:r>
    </w:p>
    <w:p>
      <w:pPr>
        <w:autoSpaceDN w:val="0"/>
        <w:tabs>
          <w:tab w:pos="1526" w:val="left"/>
          <w:tab w:pos="1798" w:val="left"/>
        </w:tabs>
        <w:autoSpaceDE w:val="0"/>
        <w:widowControl/>
        <w:spacing w:line="262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women's participation in the labour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remains low and is on the decline, especially in the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sector, it has become necessary to make mandatory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legislative provisions for the inclusion of women on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Directors in the Corporate sector to ensure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 equality, which would result in far reaching progress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across the economy: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Companies (Amendment)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 of 2019.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immediatly after section 201 of the principal enactment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“201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number of directors in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22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be three or more, one third of such number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women where   it is practicable to maintain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representation.”.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