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1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March 22, 2019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27.03.2019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44" w:after="0"/>
        <w:ind w:left="0" w:right="22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STATE LAND (SPECIAL PROVISIONS)</w:t>
      </w:r>
    </w:p>
    <w:p>
      <w:pPr>
        <w:autoSpaceDN w:val="0"/>
        <w:autoSpaceDE w:val="0"/>
        <w:widowControl/>
        <w:spacing w:line="235" w:lineRule="auto" w:before="270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16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7" w:lineRule="auto" w:before="236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grant absolute title to state lands held by citizens who are holders of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grants  or  instruments  of  disposition; and  to provide for  matters  connected </w:t>
      </w:r>
      <w:r>
        <w:rPr>
          <w:rFonts w:ascii="Times,Bold" w:hAnsi="Times,Bold" w:eastAsia="Times,Bold"/>
          <w:b/>
          <w:i w:val="0"/>
          <w:color w:val="000000"/>
          <w:sz w:val="20"/>
        </w:rPr>
        <w:t>therewith or incidental thereto.</w:t>
      </w:r>
    </w:p>
    <w:p>
      <w:pPr>
        <w:autoSpaceDN w:val="0"/>
        <w:autoSpaceDE w:val="0"/>
        <w:widowControl/>
        <w:spacing w:line="245" w:lineRule="auto" w:before="444" w:after="0"/>
        <w:ind w:left="2448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Lands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and Parliamentary Reforms</w:t>
      </w:r>
    </w:p>
    <w:p>
      <w:pPr>
        <w:autoSpaceDN w:val="0"/>
        <w:autoSpaceDE w:val="0"/>
        <w:widowControl/>
        <w:spacing w:line="245" w:lineRule="auto" w:before="17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15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20.00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tabs>
          <w:tab w:pos="2934" w:val="left"/>
        </w:tabs>
        <w:autoSpaceDE w:val="0"/>
        <w:widowControl/>
        <w:spacing w:line="396" w:lineRule="exact" w:before="0" w:after="0"/>
        <w:ind w:left="1798" w:right="144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State Land (Special Provisions) </w:t>
      </w:r>
      <w:r>
        <w:rPr>
          <w:rFonts w:ascii="Times" w:hAnsi="Times" w:eastAsia="Times"/>
          <w:b w:val="0"/>
          <w:i w:val="0"/>
          <w:color w:val="000000"/>
          <w:sz w:val="20"/>
        </w:rPr>
        <w:t>L.D.—O. 49/2015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526"/>
        <w:ind w:left="75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GRANT</w:t>
      </w:r>
      <w:r>
        <w:rPr>
          <w:rFonts w:ascii="Times" w:hAnsi="Times" w:eastAsia="Times"/>
          <w:b w:val="0"/>
          <w:i w:val="0"/>
          <w:color w:val="000000"/>
          <w:sz w:val="14"/>
        </w:rPr>
        <w:t>ABSOLUTE</w:t>
      </w:r>
      <w:r>
        <w:rPr>
          <w:rFonts w:ascii="Times" w:hAnsi="Times" w:eastAsia="Times"/>
          <w:b w:val="0"/>
          <w:i w:val="0"/>
          <w:color w:val="000000"/>
          <w:sz w:val="14"/>
        </w:rPr>
        <w:t>TITLE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STATE</w:t>
      </w:r>
      <w:r>
        <w:rPr>
          <w:rFonts w:ascii="Times" w:hAnsi="Times" w:eastAsia="Times"/>
          <w:b w:val="0"/>
          <w:i w:val="0"/>
          <w:color w:val="000000"/>
          <w:sz w:val="14"/>
        </w:rPr>
        <w:t>LANDS</w:t>
      </w:r>
      <w:r>
        <w:rPr>
          <w:rFonts w:ascii="Times" w:hAnsi="Times" w:eastAsia="Times"/>
          <w:b w:val="0"/>
          <w:i w:val="0"/>
          <w:color w:val="000000"/>
          <w:sz w:val="14"/>
        </w:rPr>
        <w:t>HELD</w:t>
      </w:r>
      <w:r>
        <w:rPr>
          <w:rFonts w:ascii="Times" w:hAnsi="Times" w:eastAsia="Times"/>
          <w:b w:val="0"/>
          <w:i w:val="0"/>
          <w:color w:val="000000"/>
          <w:sz w:val="14"/>
        </w:rPr>
        <w:t>BY</w:t>
      </w:r>
    </w:p>
    <w:p>
      <w:pPr>
        <w:autoSpaceDN w:val="0"/>
        <w:autoSpaceDE w:val="0"/>
        <w:widowControl/>
        <w:spacing w:line="271" w:lineRule="auto" w:before="92" w:after="0"/>
        <w:ind w:left="2036" w:right="24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CITIZENS</w:t>
      </w:r>
      <w:r>
        <w:rPr>
          <w:rFonts w:ascii="Times" w:hAnsi="Times" w:eastAsia="Times"/>
          <w:b w:val="0"/>
          <w:i w:val="0"/>
          <w:color w:val="000000"/>
          <w:sz w:val="14"/>
        </w:rPr>
        <w:t>WHO</w:t>
      </w:r>
      <w:r>
        <w:rPr>
          <w:rFonts w:ascii="Times" w:hAnsi="Times" w:eastAsia="Times"/>
          <w:b w:val="0"/>
          <w:i w:val="0"/>
          <w:color w:val="000000"/>
          <w:sz w:val="14"/>
        </w:rPr>
        <w:t>ARE</w:t>
      </w:r>
      <w:r>
        <w:rPr>
          <w:rFonts w:ascii="Times" w:hAnsi="Times" w:eastAsia="Times"/>
          <w:b w:val="0"/>
          <w:i w:val="0"/>
          <w:color w:val="000000"/>
          <w:sz w:val="14"/>
        </w:rPr>
        <w:t>HOLDERS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GRANTS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INSTRUMENTS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4"/>
        </w:rPr>
        <w:t>DISPOSITION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306" w:after="24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State Land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 and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(Special Provisions) Act, No.        of 2019 and shall 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16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operation on such date as the Minister shall appoint by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6" w:after="244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</w:t>
      </w:r>
      <w:r>
        <w:rPr>
          <w:rFonts w:ascii="Times" w:hAnsi="Times" w:eastAsia="Times"/>
          <w:b w:val="0"/>
          <w:i w:val="0"/>
          <w:color w:val="000000"/>
          <w:sz w:val="20"/>
        </w:rPr>
        <w:t>“the appointed date”).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shall be in operation for a period of seven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Duration of the</w:t>
            </w:r>
          </w:p>
        </w:tc>
      </w:tr>
      <w:tr>
        <w:trPr>
          <w:trHeight w:hRule="exact" w:val="908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0" w:right="2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I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238" w:lineRule="auto" w:before="212" w:after="246"/>
        <w:ind w:left="0" w:right="38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apply to persons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Criteria for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are holders of–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 under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Act.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grant under the provisions of the Land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Ordinance;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1804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instrument of disposition under the provisions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0" w:right="26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Land Grants (Special Provisions) Act; or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exact" w:before="26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instrument of disposition of land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Crown Lands Ordinance granted for agricultural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purposes, under a land settlement programme 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colonization scheme,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State Land (Special Provisions)</w:t>
      </w:r>
    </w:p>
    <w:p>
      <w:pPr>
        <w:autoSpaceDN w:val="0"/>
        <w:autoSpaceDE w:val="0"/>
        <w:widowControl/>
        <w:spacing w:line="245" w:lineRule="auto" w:before="296" w:after="176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more than ten years immediately prior to the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>date of this Act and shall hereinafter be referred to as the</w:t>
      </w:r>
      <w:r>
        <w:rPr>
          <w:rFonts w:ascii="Times" w:hAnsi="Times" w:eastAsia="Times"/>
          <w:b w:val="0"/>
          <w:i w:val="0"/>
          <w:color w:val="000000"/>
          <w:sz w:val="20"/>
        </w:rPr>
        <w:t>“Applicant”: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an Applicant under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may be entitled to apply and be eligible to get an Absolute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Land Grant up to five acres in extent under the provisions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 Any balance extent of the said land, if any,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held by the Applicant under the relevant land grant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 of disposition, with its metes and bounds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separately, as provided under the proviso to section 28.</w:t>
            </w:r>
          </w:p>
        </w:tc>
      </w:tr>
    </w:tbl>
    <w:p>
      <w:pPr>
        <w:autoSpaceDN w:val="0"/>
        <w:autoSpaceDE w:val="0"/>
        <w:widowControl/>
        <w:spacing w:line="245" w:lineRule="auto" w:before="174" w:after="2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section “Applicant”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 any nominee, grantee or successor referred to under </w:t>
      </w:r>
      <w:r>
        <w:rPr>
          <w:rFonts w:ascii="Times" w:hAnsi="Times" w:eastAsia="Times"/>
          <w:b w:val="0"/>
          <w:i w:val="0"/>
          <w:color w:val="000000"/>
          <w:sz w:val="20"/>
        </w:rPr>
        <w:t>the applicable laws specified in subsection (1), and the period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ten years shall be computed from the date of the grant or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Areas for which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 of disposition.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not apply in respect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State lands,–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Act shall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apply.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elevation of which is over one thousand five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hundred and twenty four meters above mean sea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level;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declared as development areas under any written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4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law, for the time being in force;</w:t>
      </w:r>
    </w:p>
    <w:p>
      <w:pPr>
        <w:autoSpaceDN w:val="0"/>
        <w:tabs>
          <w:tab w:pos="2314" w:val="left"/>
        </w:tabs>
        <w:autoSpaceDE w:val="0"/>
        <w:widowControl/>
        <w:spacing w:line="245" w:lineRule="auto" w:before="236" w:after="118"/>
        <w:ind w:left="191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comes within a reservation or a protected area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declared under any written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45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any local authority by law;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declared by the Minister assigned the subject of local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304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include   an Urban or Rural Regeneration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4" w:after="0"/>
              <w:ind w:left="0" w:right="2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Project, an Urban or Rural Development Project,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Infrastructure Project or a Housing Project;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Divisional Secretary’s Division which comes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7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 any  resettlement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50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State Land (Special Provisions)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Applicant.</w:t>
            </w:r>
          </w:p>
        </w:tc>
      </w:tr>
      <w:tr>
        <w:trPr>
          <w:trHeight w:hRule="exact" w:val="40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shall be disqualified from making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 for an Absolute Land Grant-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claiming a prescriptive title to such State land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92"/>
        <w:ind w:left="0" w:right="2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the Prescription Ordinance (Chapter 68);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failure to fulfill  the conditions subject to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the grant or instrument of disposition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been issued;</w:t>
      </w:r>
    </w:p>
    <w:p>
      <w:pPr>
        <w:autoSpaceDN w:val="0"/>
        <w:tabs>
          <w:tab w:pos="2516" w:val="left"/>
        </w:tabs>
        <w:autoSpaceDE w:val="0"/>
        <w:widowControl/>
        <w:spacing w:line="252" w:lineRule="auto" w:before="290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violation of the conditions referred to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6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 grant obtained by fraudulent means; or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dispute pertaining to the State land is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before any court, institution, tribunal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established under the Constitution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written law.</w:t>
      </w:r>
    </w:p>
    <w:p>
      <w:pPr>
        <w:autoSpaceDN w:val="0"/>
        <w:tabs>
          <w:tab w:pos="3846" w:val="left"/>
        </w:tabs>
        <w:autoSpaceDE w:val="0"/>
        <w:widowControl/>
        <w:spacing w:line="266" w:lineRule="exact" w:before="252" w:after="0"/>
        <w:ind w:left="144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88" w:after="230"/>
        <w:ind w:left="21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RANTS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UB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administration of this Act shall be charged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Land grants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charged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55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Land Grants Committee (hereinafter referred to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“Committee”) consisting of the following members:-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administration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Act.</w:t>
            </w:r>
          </w:p>
        </w:tc>
      </w:tr>
    </w:tbl>
    <w:p>
      <w:pPr>
        <w:autoSpaceDN w:val="0"/>
        <w:autoSpaceDE w:val="0"/>
        <w:widowControl/>
        <w:spacing w:line="259" w:lineRule="auto" w:before="8" w:after="228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Land or a representative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not below the rank of a Senior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6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Women Affairs or a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State Land (Special Provisions)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166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Agriculture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47" w:lineRule="auto" w:before="4" w:after="202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Local Authority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8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Agrarian Services or a</w:t>
            </w:r>
          </w:p>
        </w:tc>
      </w:tr>
    </w:tbl>
    <w:p>
      <w:pPr>
        <w:autoSpaceDN w:val="0"/>
        <w:autoSpaceDE w:val="0"/>
        <w:widowControl/>
        <w:spacing w:line="247" w:lineRule="auto" w:before="6" w:after="200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2" w:after="0"/>
              <w:ind w:left="0" w:right="2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Forest or a representative of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not below the rank of a Senior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Assistant Secretary;</w:t>
      </w:r>
    </w:p>
    <w:p>
      <w:pPr>
        <w:autoSpaceDN w:val="0"/>
        <w:tabs>
          <w:tab w:pos="2314" w:val="left"/>
        </w:tabs>
        <w:autoSpaceDE w:val="0"/>
        <w:widowControl/>
        <w:spacing w:line="247" w:lineRule="auto" w:before="260" w:after="8"/>
        <w:ind w:left="189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Wildlife or a representative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Secretary not below the rank of a Senior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2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Secretary;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178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Plantations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National Policy or a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0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2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Finance or a representative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Secretary not below the rank of a Senior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Assistant Secretary;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52" w:lineRule="auto" w:before="304" w:after="17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Home Affairs or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of the Secretary not below the rank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2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0" w:lineRule="auto" w:before="4" w:after="20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Sustainable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representative of the Secretary not below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rank 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0" w:right="1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Development Strategies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representative of the Secretary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6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Environment or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 of the Secretary not below the rank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 Senior Assistant Secretary;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8"/>
        <w:ind w:left="210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assigned the subject of Mahaweli Development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21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Secretary not below the rank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Senior Assistant Secretary;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Land Commissioner appointed under the Land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Ordinance (Chapter 464) or a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acting for the Land Commissioner;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Survey General of Sri Lanka or his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representative;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Registrar General of Lands appointed under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Registration of Documents Ordinance (Chapter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117);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8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nominee of the President, having experience not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ten years in land matters and being a public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officer;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State Land (Special Provisions)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nominee  of the Prime Minister, having experience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76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ten  years in land matters and being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public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24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5" w:lineRule="auto" w:before="60" w:after="0"/>
              <w:ind w:left="76" w:right="129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Committee shall carry out all matters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Act, and when necessary–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recommendations to the Minister;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 for any documentation or explanation from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42"/>
        <w:ind w:left="231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officer of a Government Institution or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expert;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43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such number of  Sub-Committees;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special or  general directions for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administration of the Act;</w:t>
      </w:r>
    </w:p>
    <w:p>
      <w:pPr>
        <w:autoSpaceDN w:val="0"/>
        <w:tabs>
          <w:tab w:pos="2314" w:val="left"/>
        </w:tabs>
        <w:autoSpaceDE w:val="0"/>
        <w:widowControl/>
        <w:spacing w:line="245" w:lineRule="auto" w:before="238" w:after="0"/>
        <w:ind w:left="18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the required forms, applications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documentations to be included to the data base.</w:t>
      </w:r>
    </w:p>
    <w:p>
      <w:pPr>
        <w:autoSpaceDN w:val="0"/>
        <w:tabs>
          <w:tab w:pos="1594" w:val="left"/>
          <w:tab w:pos="1834" w:val="left"/>
        </w:tabs>
        <w:autoSpaceDE w:val="0"/>
        <w:widowControl/>
        <w:spacing w:line="234" w:lineRule="exact" w:before="228" w:after="176"/>
        <w:ind w:left="1254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Land Commissioner shall be the Chairman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Committee (hereinafter referred to as the “Chairman”).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2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The quorum of the Committee shall be nine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Quorum,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Committee shall have power to act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Committee.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 vacancy in its membership, and no act,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76"/>
        <w:ind w:left="159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or decision of the Committee shall be deemed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invalid by reason only of the vacancy or any defect in the </w:t>
      </w:r>
      <w:r>
        <w:rPr>
          <w:rFonts w:ascii="Times" w:hAnsi="Times" w:eastAsia="Times"/>
          <w:b w:val="0"/>
          <w:i w:val="0"/>
          <w:color w:val="000000"/>
          <w:sz w:val="20"/>
        </w:rPr>
        <w:t>appointment of any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Committee may regulate the procedure in regard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meetings of the Committee and the transaction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business at such meetings.</w:t>
      </w:r>
    </w:p>
    <w:p>
      <w:pPr>
        <w:autoSpaceDN w:val="0"/>
        <w:tabs>
          <w:tab w:pos="1838" w:val="left"/>
          <w:tab w:pos="2554" w:val="left"/>
        </w:tabs>
        <w:autoSpaceDE w:val="0"/>
        <w:widowControl/>
        <w:spacing w:line="248" w:lineRule="exact" w:before="214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decision shall be taken at a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and shall be determined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the votes of the members present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756" w:val="left"/>
        </w:tabs>
        <w:autoSpaceDE w:val="0"/>
        <w:widowControl/>
        <w:spacing w:line="257" w:lineRule="auto" w:before="308" w:after="0"/>
        <w:ind w:left="234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an equality of votes on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question considered at a meeting, the Chairman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meeting shall have a casting vote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addition to his original vote.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exact" w:before="252" w:after="216"/>
        <w:ind w:left="1506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members of the Committee may be paid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remuneration as may be determined by the Minister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discharging the functions of this Act, in consultation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 shall establish and maintain a data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base in such form and manner as may be prescribed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 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database.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16" w:after="12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database shall be located at each Divisional </w:t>
      </w:r>
      <w:r>
        <w:rPr>
          <w:rFonts w:ascii="Times" w:hAnsi="Times" w:eastAsia="Times"/>
          <w:b w:val="0"/>
          <w:i w:val="0"/>
          <w:color w:val="000000"/>
          <w:sz w:val="20"/>
        </w:rPr>
        <w:t>Secretary’s Division (hereinafter referred to as the “regional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database”) for the purposes of data entry. The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entered to the database on the basis of the National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Identity Card numerical of the respective Applicant.</w:t>
      </w:r>
    </w:p>
    <w:p>
      <w:pPr>
        <w:autoSpaceDN w:val="0"/>
        <w:autoSpaceDE w:val="0"/>
        <w:widowControl/>
        <w:spacing w:line="254" w:lineRule="auto" w:before="276" w:after="188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regional databases shall be connected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database located with the Chairman. The data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preserved for a period of ten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 may appoint a Sub-Committee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among the members of the Committee to verify matters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functions 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 Sub-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contained in the application pertaining to the Act, where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Committee.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considers it expedient for the purpose.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6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Chairman of the Committee shall continue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of the Sub - Committee.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50" w:lineRule="auto" w:before="216" w:after="216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For the purposes of subsection (1), the Chairman may </w:t>
      </w:r>
      <w:r>
        <w:rPr>
          <w:rFonts w:ascii="Times" w:hAnsi="Times" w:eastAsia="Times"/>
          <w:b w:val="0"/>
          <w:i w:val="0"/>
          <w:color w:val="000000"/>
          <w:sz w:val="20"/>
        </w:rPr>
        <w:t>call for information from–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2" w:after="0"/>
              <w:ind w:left="0" w:right="2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Divisional Secretariat of the Divisional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Secretary’s Division of the area within which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 land is situated;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1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State Land (Special Provisions)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Chief Secretary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231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Provincial Council within which the 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land is situated;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Provincial Land Commissioner of the relevant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within which the State land is</w:t>
            </w:r>
          </w:p>
        </w:tc>
      </w:tr>
    </w:tbl>
    <w:p>
      <w:pPr>
        <w:autoSpaceDN w:val="0"/>
        <w:autoSpaceDE w:val="0"/>
        <w:widowControl/>
        <w:spacing w:line="238" w:lineRule="auto" w:before="4" w:after="176"/>
        <w:ind w:left="0" w:right="58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situated;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9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Officer from a Government Institution.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Sub-Committee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Sub-Committee shall within one month,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forward a report to the Committee.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forward a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report.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Sub-Committee shall–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verify documentations submitted;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examine if the State Land comes within an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76"/>
        <w:ind w:left="0" w:right="3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area referred to under section 4;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" w:after="0"/>
              <w:ind w:left="0" w:right="4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 an opportunity for all parties to make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representations in writing, if necessary.</w:t>
            </w:r>
          </w:p>
        </w:tc>
      </w:tr>
    </w:tbl>
    <w:p>
      <w:pPr>
        <w:autoSpaceDN w:val="0"/>
        <w:autoSpaceDE w:val="0"/>
        <w:widowControl/>
        <w:spacing w:line="235" w:lineRule="auto" w:before="168" w:after="0"/>
        <w:ind w:left="0" w:right="46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36" w:after="178"/>
        <w:ind w:left="0" w:right="40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The Committee shall under the hand of the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Notice to apply</w:t>
            </w:r>
          </w:p>
        </w:tc>
      </w:tr>
      <w:tr>
        <w:trPr>
          <w:trHeight w:hRule="exact" w:val="16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Chairman publish a notice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 at least one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an Absolute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 Grant.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newspaper in Sinhala, Tamil and English requesting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Applicants to submit applications for Absolute Land Grants.</w:t>
      </w:r>
    </w:p>
    <w:p>
      <w:pPr>
        <w:autoSpaceDN w:val="0"/>
        <w:autoSpaceDE w:val="0"/>
        <w:widowControl/>
        <w:spacing w:line="245" w:lineRule="auto" w:before="236" w:after="2"/>
        <w:ind w:left="1594" w:right="2592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Committee shall cause wide publicity of the notice </w:t>
      </w:r>
      <w:r>
        <w:rPr>
          <w:rFonts w:ascii="Times" w:hAnsi="Times" w:eastAsia="Times"/>
          <w:b w:val="0"/>
          <w:i w:val="0"/>
          <w:color w:val="000000"/>
          <w:sz w:val="20"/>
        </w:rPr>
        <w:t>through print, audio and electronic media and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assistance of the Divisional Secretary to cause wide publicity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notice, as may be necessary, within the area.</w:t>
            </w:r>
          </w:p>
        </w:tc>
      </w:tr>
    </w:tbl>
    <w:p>
      <w:pPr>
        <w:autoSpaceDN w:val="0"/>
        <w:autoSpaceDE w:val="0"/>
        <w:widowControl/>
        <w:spacing w:line="238" w:lineRule="auto" w:before="176" w:after="0"/>
        <w:ind w:left="18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notice shall include the following particulars–</w:t>
      </w:r>
    </w:p>
    <w:p>
      <w:pPr>
        <w:autoSpaceDN w:val="0"/>
        <w:tabs>
          <w:tab w:pos="2794" w:val="left"/>
        </w:tabs>
        <w:autoSpaceDE w:val="0"/>
        <w:widowControl/>
        <w:spacing w:line="245" w:lineRule="auto" w:before="238" w:after="0"/>
        <w:ind w:left="237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criteria for eligibility to submit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under section 3;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tabs>
          <w:tab w:pos="2996" w:val="left"/>
        </w:tabs>
        <w:autoSpaceDE w:val="0"/>
        <w:widowControl/>
        <w:spacing w:line="247" w:lineRule="auto" w:before="304" w:after="202"/>
        <w:ind w:left="258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State land to which the Act relates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apply to State land referred to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4;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4" w:after="0"/>
              <w:ind w:left="0" w:right="47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disqualifications to be an Applicant under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5;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availability of the application;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period to submit the application;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particulars to be submitted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152"/>
        <w:ind w:left="0" w:right="4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Applicant:–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certified copies of the grant or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48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of disposition together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original, where the survey plan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available an additional certified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copy shall be submitted;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certified copy of the registration of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grant or instrument of disposition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the Applicant,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relevant Land Registry, obtained within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six months prior to submitting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and an additional copy;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drawing depicting the closest route to</w:t>
            </w:r>
          </w:p>
        </w:tc>
      </w:tr>
    </w:tbl>
    <w:p>
      <w:pPr>
        <w:autoSpaceDN w:val="0"/>
        <w:autoSpaceDE w:val="0"/>
        <w:widowControl/>
        <w:spacing w:line="245" w:lineRule="auto" w:before="10" w:after="10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land from the town and where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survey plan is not available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0" w:right="6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additional copy of the said route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drawing;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certified copies of Birth</w:t>
            </w:r>
          </w:p>
        </w:tc>
      </w:tr>
    </w:tbl>
    <w:p>
      <w:pPr>
        <w:autoSpaceDN w:val="0"/>
        <w:autoSpaceDE w:val="0"/>
        <w:widowControl/>
        <w:spacing w:line="238" w:lineRule="auto" w:before="8" w:after="200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Certificates;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certified copies of any other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documents, including Death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Marriage Certificates;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State Land (Special Provisions)</w:t>
      </w:r>
    </w:p>
    <w:p>
      <w:pPr>
        <w:autoSpaceDN w:val="0"/>
        <w:tabs>
          <w:tab w:pos="3274" w:val="left"/>
          <w:tab w:pos="3276" w:val="left"/>
        </w:tabs>
        <w:autoSpaceDE w:val="0"/>
        <w:widowControl/>
        <w:spacing w:line="245" w:lineRule="auto" w:before="302" w:after="8"/>
        <w:ind w:left="2802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original and four certified copies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Surveyor General’s plan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extent of the land  as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91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1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Grant or Instrument of disposition,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available, or on payment of a fee,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obtain the necessary resurveyed plans;</w:t>
      </w:r>
    </w:p>
    <w:p>
      <w:pPr>
        <w:autoSpaceDN w:val="0"/>
        <w:tabs>
          <w:tab w:pos="3276" w:val="left"/>
        </w:tabs>
        <w:autoSpaceDE w:val="0"/>
        <w:widowControl/>
        <w:spacing w:line="245" w:lineRule="auto" w:before="254" w:after="6"/>
        <w:ind w:left="274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sets of files labelled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Applicants name, with contact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8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Divisional Secretary’s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 in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for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10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the land is situated.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Applicant may, subject to sections 4 and 5,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an application in duplicate requesting for an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Absolute Land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Absolute Land Grant in respect of such extent as specified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section 3.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40" w:lineRule="exact" w:before="242" w:after="194"/>
        <w:ind w:left="1262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 Applicant shall forward the applications together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 documents specified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the notice to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Divisional Secretary.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4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Divisional Secretary shall maintain a check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Divisional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 of all documents required under section 11. On receiving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 to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applications and the documents the Divisional Secretary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prepare a report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1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36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applications.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call for any other necessary documents;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that the particulars are entered into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regional database, with or without the Surveyor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General’s plans;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handover a copy of the grant or instrument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68"/>
        <w:ind w:left="2314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disposition to the applicant with  the endorsement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his hand as specified in the Schedule,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certifying the receipt of the original;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426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0" w:right="8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–</w:t>
            </w:r>
          </w:p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survey plan has been submitted; or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3238" w:val="left"/>
        </w:tabs>
        <w:autoSpaceDE w:val="0"/>
        <w:widowControl/>
        <w:spacing w:line="252" w:lineRule="auto" w:before="314" w:after="0"/>
        <w:ind w:left="281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land pertains to the proviso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3,</w:t>
      </w:r>
    </w:p>
    <w:p>
      <w:pPr>
        <w:autoSpaceDN w:val="0"/>
        <w:autoSpaceDE w:val="0"/>
        <w:widowControl/>
        <w:spacing w:line="238" w:lineRule="auto" w:before="288" w:after="1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 payment of the prescribed fees, forward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1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2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to the Surveyor General to draw a survey plan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Act. The information shall be entered into the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database.</w:t>
      </w:r>
    </w:p>
    <w:p>
      <w:pPr>
        <w:autoSpaceDN w:val="0"/>
        <w:autoSpaceDE w:val="0"/>
        <w:widowControl/>
        <w:spacing w:line="252" w:lineRule="auto" w:before="290" w:after="1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Divisional Secretary shall prepare a report as may </w:t>
      </w:r>
      <w:r>
        <w:rPr>
          <w:rFonts w:ascii="Times" w:hAnsi="Times" w:eastAsia="Times"/>
          <w:b w:val="0"/>
          <w:i w:val="0"/>
          <w:color w:val="000000"/>
          <w:sz w:val="20"/>
        </w:rPr>
        <w:t>be prescribed by regulations.  The Divisional Secretary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submit the report to the Committee together with all relevant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documents, within a period of two months of receiving all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documentations.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0" w:after="0"/>
              <w:ind w:left="0" w:right="1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Divisional Secretary shall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an inventory of lands specified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 to be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entrusted to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Divisional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his area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which the Act shall not apply;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Secretary.</w:t>
            </w:r>
          </w:p>
        </w:tc>
      </w:tr>
      <w:tr>
        <w:trPr>
          <w:trHeight w:hRule="exact" w:val="5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registers as directed by the Committee;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that all documents, reports and data entries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6" w:after="228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are made accurately and maintained in a systematic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manner;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 reports to the Committee within the specified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period;</w:t>
            </w:r>
          </w:p>
        </w:tc>
      </w:tr>
      <w:tr>
        <w:trPr>
          <w:trHeight w:hRule="exact" w:val="5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update the regional database;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 field visit, as may be necessary, for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28"/>
        <w:ind w:left="0" w:right="48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purposes of the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preserve all applications and other documents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handed by the applicant in safe custody and carry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448" w:right="230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out any other matters as may be necessary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successfully implement the provisions of the Act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74" w:after="0"/>
              <w:ind w:left="0" w:right="7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5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State Land (Special Provisions)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Surveyor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Surveyor General may obtain the services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registered licensed surveyor to draw survey plans for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of section 13(1)(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 The said registered licensed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preparing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surveyor  shall survey and prepare the plans which shall be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survey plans.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in quadruplicate within three months of receipt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 of the Surveyor General. The Surveyor General shall </w:t>
      </w:r>
      <w:r>
        <w:rPr>
          <w:rFonts w:ascii="Times" w:hAnsi="Times" w:eastAsia="Times"/>
          <w:b w:val="0"/>
          <w:i w:val="0"/>
          <w:color w:val="000000"/>
          <w:sz w:val="20"/>
        </w:rPr>
        <w:t>retain an additional copy.</w:t>
      </w:r>
    </w:p>
    <w:p>
      <w:pPr>
        <w:autoSpaceDN w:val="0"/>
        <w:autoSpaceDE w:val="0"/>
        <w:widowControl/>
        <w:spacing w:line="235" w:lineRule="auto" w:before="290" w:after="1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survey plans shall be submitted to the Surveyor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for certification. The Surveyor General shall forward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Retention and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said survey plans to the Divisional Secretary.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document accepted by the Divisional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 shall be required to be retained within the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destruction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documents.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Divisional Secretary’s Secretariat for as long as it supports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current entry in the register and for ten years thereafter.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60" w:lineRule="exact" w:before="248" w:after="168"/>
        <w:ind w:left="1262" w:right="259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On the expiry of ten years after the entry in the register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pertaining to the title the Divisional Secretary may destroy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documents in the manner and form as may be prescribed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regulations. An entry to that effect shall be made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33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 shall examine each application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all relevant documents received from the Divisional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observations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Secretary’s Division. The Committee being satisfied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its observations in writing.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Applications.</w:t>
            </w:r>
          </w:p>
        </w:tc>
      </w:tr>
    </w:tbl>
    <w:p>
      <w:pPr>
        <w:autoSpaceDN w:val="0"/>
        <w:autoSpaceDE w:val="0"/>
        <w:widowControl/>
        <w:spacing w:line="235" w:lineRule="auto" w:before="230" w:after="1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Where necessary the Committee may forward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matter to a Sub-Committee appointed under section 10,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thereon</w:t>
            </w:r>
            <w:r>
              <w:rPr>
                <w:rFonts w:ascii="Times" w:hAnsi="Times" w:eastAsia="Times"/>
                <w:b w:val="0"/>
                <w:i w:val="0"/>
                <w:color w:val="ED1C24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Committee shall consider the report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 being satisfied make its observations in writing.</w:t>
      </w:r>
    </w:p>
    <w:p>
      <w:pPr>
        <w:autoSpaceDN w:val="0"/>
        <w:autoSpaceDE w:val="0"/>
        <w:widowControl/>
        <w:spacing w:line="238" w:lineRule="auto" w:before="288" w:after="1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Committee shall prepare a list of the Applications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fulfill the particulars under section 11 (3)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respect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each Divisional Secretary’s Division, which shall be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amended from time to time.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038" w:val="left"/>
        </w:tabs>
        <w:autoSpaceDE w:val="0"/>
        <w:widowControl/>
        <w:spacing w:line="252" w:lineRule="auto" w:before="31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Committee is not satisfied the Applicant </w:t>
      </w:r>
      <w:r>
        <w:rPr>
          <w:rFonts w:ascii="Times" w:hAnsi="Times" w:eastAsia="Times"/>
          <w:b w:val="0"/>
          <w:i w:val="0"/>
          <w:color w:val="000000"/>
          <w:sz w:val="20"/>
        </w:rPr>
        <w:t>shall be informed, with reasons in writing.</w:t>
      </w:r>
    </w:p>
    <w:p>
      <w:pPr>
        <w:autoSpaceDN w:val="0"/>
        <w:autoSpaceDE w:val="0"/>
        <w:widowControl/>
        <w:spacing w:line="238" w:lineRule="auto" w:before="288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88" w:after="160"/>
        <w:ind w:left="0" w:right="4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BJECTIONS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7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Committee shall publish a notice in the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Objections.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may be prescribed by regulation including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 of Applicants prepared in terms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17(3),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the hand of the Chairman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The notice shall also appear </w:t>
      </w:r>
      <w:r>
        <w:rPr>
          <w:rFonts w:ascii="Times" w:hAnsi="Times" w:eastAsia="Times"/>
          <w:b w:val="0"/>
          <w:i w:val="0"/>
          <w:color w:val="000000"/>
          <w:sz w:val="20"/>
        </w:rPr>
        <w:t>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 newspaper in Sinhala, Tamil and English to inform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and to give an opportunity to forward objections, if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any. Objections shall be considered by the panel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>under section 19.</w:t>
      </w:r>
    </w:p>
    <w:p>
      <w:pPr>
        <w:autoSpaceDN w:val="0"/>
        <w:autoSpaceDE w:val="0"/>
        <w:widowControl/>
        <w:spacing w:line="235" w:lineRule="auto" w:before="290" w:after="23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notice for objections shall include the following:–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8" w:after="0"/>
              <w:ind w:left="0" w:right="4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manner and the place to submit objections;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period to submit objections; and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matters as the Committee may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28"/>
        <w:ind w:left="0" w:right="4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consider necessary.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 appoint such number of panels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Panels.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necessary, nominated by the Committee, for each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Divisional Secretary’s Division.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54" w:lineRule="auto" w:before="228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Panel shall consider the objections and forward a </w:t>
      </w:r>
      <w:r>
        <w:rPr>
          <w:rFonts w:ascii="Times" w:hAnsi="Times" w:eastAsia="Times"/>
          <w:b w:val="0"/>
          <w:i w:val="0"/>
          <w:color w:val="000000"/>
          <w:sz w:val="20"/>
        </w:rPr>
        <w:t>report to the Committee.</w:t>
      </w:r>
    </w:p>
    <w:p>
      <w:pPr>
        <w:autoSpaceDN w:val="0"/>
        <w:tabs>
          <w:tab w:pos="2040" w:val="left"/>
          <w:tab w:pos="2738" w:val="left"/>
          <w:tab w:pos="2756" w:val="left"/>
        </w:tabs>
        <w:autoSpaceDE w:val="0"/>
        <w:widowControl/>
        <w:spacing w:line="258" w:lineRule="exact" w:before="258" w:after="0"/>
        <w:ind w:left="147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Panel shall consist of three persons,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comprising  a person from the legal profession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experience in land matters and two retired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officer above the rank of a Class III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Sri Lanka Administrative Service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State Land (Special Provisions)</w:t>
      </w:r>
    </w:p>
    <w:p>
      <w:pPr>
        <w:autoSpaceDN w:val="0"/>
        <w:autoSpaceDE w:val="0"/>
        <w:widowControl/>
        <w:spacing w:line="254" w:lineRule="auto" w:before="308" w:after="216"/>
        <w:ind w:left="255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by the Divisional Secretary.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Panel shall not exceed the age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seventy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3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possible the Panel shall consist of at least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female member.</w:t>
            </w:r>
          </w:p>
        </w:tc>
      </w:tr>
    </w:tbl>
    <w:p>
      <w:pPr>
        <w:autoSpaceDN w:val="0"/>
        <w:autoSpaceDE w:val="0"/>
        <w:widowControl/>
        <w:spacing w:line="254" w:lineRule="auto" w:before="206" w:after="12"/>
        <w:ind w:left="1594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person from the legal profession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of the Panel and the Chairman shall preside at </w:t>
      </w:r>
      <w:r>
        <w:rPr>
          <w:rFonts w:ascii="Times" w:hAnsi="Times" w:eastAsia="Times"/>
          <w:b w:val="0"/>
          <w:i w:val="0"/>
          <w:color w:val="000000"/>
          <w:sz w:val="20"/>
        </w:rPr>
        <w:t>every meeting of the Panel.  Where the Chairman is absent,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members present shall elect a Chairman for that meeting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among themselves.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12"/>
        <w:ind w:left="1594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All matters for decision by the Panel shall be dealt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at a meeting of the Panel and shall be determined </w:t>
      </w:r>
      <w:r>
        <w:rPr>
          <w:rFonts w:ascii="Times" w:hAnsi="Times" w:eastAsia="Times"/>
          <w:b w:val="0"/>
          <w:i w:val="0"/>
          <w:color w:val="000000"/>
          <w:sz w:val="20"/>
        </w:rPr>
        <w:t>by the majority of the members present. All decisions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Panel shall be supported by reasons, and shall be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writing.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216"/>
        <w:ind w:left="1594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Minister shall issue guidelines for the conduct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for the Panel, which shall be prescribed by </w:t>
      </w:r>
      <w:r>
        <w:rPr>
          <w:rFonts w:ascii="Times" w:hAnsi="Times" w:eastAsia="Times"/>
          <w:b w:val="0"/>
          <w:i w:val="0"/>
          <w:color w:val="000000"/>
          <w:sz w:val="20"/>
        </w:rPr>
        <w:t>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2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4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The members of the Panel may be paid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remuneration as may be determined by the Minister in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59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Finance.</w:t>
      </w:r>
    </w:p>
    <w:p>
      <w:pPr>
        <w:autoSpaceDN w:val="0"/>
        <w:autoSpaceDE w:val="0"/>
        <w:widowControl/>
        <w:spacing w:line="238" w:lineRule="auto" w:before="276" w:after="12"/>
        <w:ind w:left="18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(8) A member of any Panel, may at any time, vacate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4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post by letter addressed to the Minister under his hand or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removed by the Minister, for reasons assigned. The Minister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1594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may, having regard to the provisions of subsection (3), </w:t>
      </w:r>
      <w:r>
        <w:rPr>
          <w:rFonts w:ascii="Times" w:hAnsi="Times" w:eastAsia="Times"/>
          <w:b w:val="0"/>
          <w:i w:val="0"/>
          <w:color w:val="000000"/>
          <w:sz w:val="20"/>
        </w:rPr>
        <w:t>appoint another person to the Panel.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2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 of the Panel shall, when inquiring into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Observations of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matter hear all parties, call for documents, consider any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Panel.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submit its  observations to the Committee,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within three months of receiving the objections.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08"/>
        </w:trPr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46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State Land (Special Provisions)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observations 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Panel.</w:t>
            </w:r>
          </w:p>
        </w:tc>
      </w:tr>
      <w:tr>
        <w:trPr>
          <w:trHeight w:hRule="exact" w:val="4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 shall consider the observations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2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Panel when making its decision on the objections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 the person who made the objections of its decision.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exact" w:before="0" w:after="0"/>
        <w:ind w:left="150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 appeal, to the Board of Review, against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Committee decision, the Committee decision shall be final.</w:t>
      </w:r>
    </w:p>
    <w:p>
      <w:pPr>
        <w:autoSpaceDN w:val="0"/>
        <w:autoSpaceDE w:val="0"/>
        <w:widowControl/>
        <w:spacing w:line="262" w:lineRule="auto" w:before="2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an appeal has been made to the Board of Review,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act in accordance with the decision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>Board of Review.</w:t>
      </w:r>
    </w:p>
    <w:p>
      <w:pPr>
        <w:autoSpaceDN w:val="0"/>
        <w:autoSpaceDE w:val="0"/>
        <w:widowControl/>
        <w:spacing w:line="235" w:lineRule="auto" w:before="302" w:after="206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5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OARD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EVIEW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Appeal.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aggrieved by the decision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under section 17 (4), may within thirty days from </w:t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decision being communicated to him appeal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against such decision to the Board of Review, with a copy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Committee. The Board of Review may vary, reverse or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confirm the decision of the Committee.</w:t>
      </w:r>
    </w:p>
    <w:p>
      <w:pPr>
        <w:autoSpaceDN w:val="0"/>
        <w:autoSpaceDE w:val="0"/>
        <w:widowControl/>
        <w:spacing w:line="262" w:lineRule="auto" w:before="302" w:after="20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 appeal lies to the Board of Review,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shall await the decision of the Board of Review </w:t>
      </w:r>
      <w:r>
        <w:rPr>
          <w:rFonts w:ascii="Times" w:hAnsi="Times" w:eastAsia="Times"/>
          <w:b w:val="0"/>
          <w:i w:val="0"/>
          <w:color w:val="000000"/>
          <w:sz w:val="20"/>
        </w:rPr>
        <w:t>and act in accordance with such decision.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of Review shall be appointed by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and consist of the following members–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Board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Review.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retired judge of the Court of Appeal;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retired Registrar General of Lands or Additional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8" w:after="194"/>
        <w:ind w:left="0" w:right="3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Registrar or Deputy Registrar;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retired public officer who has served as an</w:t>
            </w:r>
          </w:p>
        </w:tc>
      </w:tr>
    </w:tbl>
    <w:p>
      <w:pPr>
        <w:autoSpaceDN w:val="0"/>
        <w:autoSpaceDE w:val="0"/>
        <w:widowControl/>
        <w:spacing w:line="262" w:lineRule="auto" w:before="20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Additional Secretary in land matters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having over ten years experience in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matters.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State Land (Special Provisions)</w:t>
      </w:r>
    </w:p>
    <w:p>
      <w:pPr>
        <w:autoSpaceDN w:val="0"/>
        <w:autoSpaceDE w:val="0"/>
        <w:widowControl/>
        <w:spacing w:line="259" w:lineRule="auto" w:before="314" w:after="14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retired judge of the Court of Appeal shall be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of the Panel and the Chairman shall preside at </w:t>
      </w:r>
      <w:r>
        <w:rPr>
          <w:rFonts w:ascii="Times" w:hAnsi="Times" w:eastAsia="Times"/>
          <w:b w:val="0"/>
          <w:i w:val="0"/>
          <w:color w:val="000000"/>
          <w:sz w:val="20"/>
        </w:rPr>
        <w:t>every meeting of the Panel.  Where the Chairman is absent,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members present shall elect a Chairman for that meeting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among themselves.</w:t>
            </w:r>
          </w:p>
        </w:tc>
      </w:tr>
    </w:tbl>
    <w:p>
      <w:pPr>
        <w:autoSpaceDN w:val="0"/>
        <w:autoSpaceDE w:val="0"/>
        <w:widowControl/>
        <w:spacing w:line="259" w:lineRule="auto" w:before="226" w:after="230"/>
        <w:ind w:left="1596" w:right="26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issue guidelines for the conduct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for the Board of Review, which shall be prescribed </w:t>
      </w:r>
      <w:r>
        <w:rPr>
          <w:rFonts w:ascii="Times" w:hAnsi="Times" w:eastAsia="Times"/>
          <w:b w:val="0"/>
          <w:i w:val="0"/>
          <w:color w:val="000000"/>
          <w:sz w:val="20"/>
        </w:rPr>
        <w:t>by regulations.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5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6" w:right="1296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members of the Board of Review may be paid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remuneration as may be determined by the Minister in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Finance.</w:t>
      </w:r>
    </w:p>
    <w:p>
      <w:pPr>
        <w:autoSpaceDN w:val="0"/>
        <w:autoSpaceDE w:val="0"/>
        <w:widowControl/>
        <w:spacing w:line="238" w:lineRule="auto" w:before="288" w:after="1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A member of the Board of Review, may at any time,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2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6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vacate his post by letter addressed to the Minister under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hand or be removed by the Minister, for reasons assigned.</w:t>
            </w:r>
          </w:p>
        </w:tc>
      </w:tr>
    </w:tbl>
    <w:p>
      <w:pPr>
        <w:autoSpaceDN w:val="0"/>
        <w:tabs>
          <w:tab w:pos="1596" w:val="left"/>
          <w:tab w:pos="1836" w:val="left"/>
        </w:tabs>
        <w:autoSpaceDE w:val="0"/>
        <w:widowControl/>
        <w:spacing w:line="264" w:lineRule="exact" w:before="192" w:after="0"/>
        <w:ind w:left="1268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the event of the vacation of any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Review by death, resignation or removal from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the Board of Review, the Minister may, having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the provisions of subsection (1), appoint any other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to the Board of Review.</w:t>
      </w:r>
    </w:p>
    <w:p>
      <w:pPr>
        <w:autoSpaceDN w:val="0"/>
        <w:autoSpaceDE w:val="0"/>
        <w:widowControl/>
        <w:spacing w:line="259" w:lineRule="auto" w:before="264" w:after="228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All matters for decision by the Board of Review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dealt with at a meeting of the Board of Review and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majority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6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 All decisions of the Board of Review shall be supported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 of  the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reasons and shall be in writing.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Board of Review shall examine all documents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8" w:after="0"/>
              <w:ind w:left="0" w:right="7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inquire into its facts.  The said Board of Review shall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of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 to be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convey its decision within two months from the date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conveyed to the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receiving the appeal to the Committee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appellant. The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 &amp;c..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said decision shall be final and conclusive.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5" w:lineRule="auto" w:before="302" w:after="0"/>
        <w:ind w:left="0" w:right="46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50" w:after="188"/>
        <w:ind w:left="0" w:right="30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ISSUE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BSOLUTE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ITLE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11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 shall forward its  observations to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on all applications for Absolute Land Grants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forward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observations  to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relevant documents, including–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Minister.</w:t>
            </w:r>
          </w:p>
        </w:tc>
      </w:tr>
      <w:tr>
        <w:trPr>
          <w:trHeight w:hRule="exact" w:val="4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70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observations of the panel; and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President to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decision of the Board of Review.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1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shall, on receipt of the observations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relevant documents and being satisfied  with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 decision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the Absolute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correctness thereof,  forward such observations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 Grants.</w:t>
            </w:r>
          </w:p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documents to the President as soon as practicable.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88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shall, having considered the </w:t>
      </w:r>
      <w:r>
        <w:rPr>
          <w:rFonts w:ascii="Times" w:hAnsi="Times" w:eastAsia="Times"/>
          <w:b w:val="0"/>
          <w:i w:val="0"/>
          <w:color w:val="000000"/>
          <w:sz w:val="20"/>
        </w:rPr>
        <w:t>observations and the relevant documents submitted to him,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decide on the issuance of the Absolute Land Grants.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seal of the Republic shall be affected to the said</w:t>
            </w:r>
          </w:p>
        </w:tc>
      </w:tr>
    </w:tbl>
    <w:p>
      <w:pPr>
        <w:autoSpaceDN w:val="0"/>
        <w:autoSpaceDE w:val="0"/>
        <w:widowControl/>
        <w:spacing w:line="238" w:lineRule="auto" w:before="6" w:after="18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Grants.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4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 valuable consideration shall be charged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Absolute Land Grant issued by the President.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Absolute Land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Committee shall forward the Absolute Land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Grants.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 issued by the President for registration to the relevant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Land Registry.</w:t>
      </w:r>
    </w:p>
    <w:p>
      <w:pPr>
        <w:autoSpaceDN w:val="0"/>
        <w:autoSpaceDE w:val="0"/>
        <w:widowControl/>
        <w:spacing w:line="245" w:lineRule="auto" w:before="248" w:after="6"/>
        <w:ind w:left="1796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Committee shall forward the registered Absolute </w:t>
      </w:r>
      <w:r>
        <w:rPr>
          <w:rFonts w:ascii="Times" w:hAnsi="Times" w:eastAsia="Times"/>
          <w:b w:val="0"/>
          <w:i w:val="0"/>
          <w:color w:val="000000"/>
          <w:sz w:val="20"/>
        </w:rPr>
        <w:t>Land Grants, to the relevant Divisional Secretaries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handing over to the respective grantees. A certified copy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forwarded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of Agrarian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Development.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6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registration of the Absolute Land Grant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Cancellation of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relevant Land Registrar, the grant or the instrument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grant and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disposition shall be deemed to have been automatically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instrument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disposition.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cancelled: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State Land (Special Provisions)</w:t>
      </w:r>
    </w:p>
    <w:p>
      <w:pPr>
        <w:autoSpaceDN w:val="0"/>
        <w:autoSpaceDE w:val="0"/>
        <w:widowControl/>
        <w:spacing w:line="247" w:lineRule="auto" w:before="302" w:after="194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 land exceeds five acres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extent as provided in the proviso under section 3 (1), a fresh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grant or instrument of disposition shall be issued for </w:t>
      </w:r>
      <w:r>
        <w:rPr>
          <w:rFonts w:ascii="Times" w:hAnsi="Times" w:eastAsia="Times"/>
          <w:b w:val="0"/>
          <w:i w:val="0"/>
          <w:color w:val="000000"/>
          <w:sz w:val="20"/>
        </w:rPr>
        <w:t>the balance extent of land under the relevant laws.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grantee of an Absolute Land Grant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right of transfer of the land to the heirs or with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land to 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purchaser by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consent of all heirs in writing to sell such land to any person: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grantee.</w:t>
            </w:r>
          </w:p>
        </w:tc>
      </w:tr>
    </w:tbl>
    <w:p>
      <w:pPr>
        <w:autoSpaceDN w:val="0"/>
        <w:autoSpaceDE w:val="0"/>
        <w:widowControl/>
        <w:spacing w:line="235" w:lineRule="auto" w:before="106" w:after="6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Provided that, the grantee of an Absolute Land Grant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6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paddy cultivation registered in terms of section 53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Agrarian Development Act, No. 46 of 2000 shall not be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entitled  to divide such land:</w:t>
      </w:r>
    </w:p>
    <w:p>
      <w:pPr>
        <w:autoSpaceDN w:val="0"/>
        <w:tabs>
          <w:tab w:pos="1836" w:val="left"/>
        </w:tabs>
        <w:autoSpaceDE w:val="0"/>
        <w:widowControl/>
        <w:spacing w:line="245" w:lineRule="auto" w:before="254" w:after="194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Provided, further that, any land which is used for paddy </w:t>
      </w:r>
      <w:r>
        <w:rPr>
          <w:rFonts w:ascii="Times" w:hAnsi="Times" w:eastAsia="Times"/>
          <w:b w:val="0"/>
          <w:i w:val="0"/>
          <w:color w:val="221F1F"/>
          <w:sz w:val="20"/>
        </w:rPr>
        <w:t>cultivation may be sold only to a purchaser who shall be–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6" w:after="0"/>
              <w:ind w:left="0" w:right="2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holder of a Farmer Identity Card issued by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Commissioner-General of Agrarian Development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section 38 of the Agrarian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Act, No. 46 of 2000 and a certified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copy of the registration of membership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2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Applicant which shall be  within the last two years;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required to submit proof of being a registered voter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4"/>
        <w:ind w:left="2316" w:right="262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Grama Niladhari Division where the State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is situated or of any adjoining Grama Niladhari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Division,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9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such purchaser may purchase the said land upon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consent in writing of all heirs.</w:t>
            </w:r>
          </w:p>
        </w:tc>
      </w:tr>
    </w:tbl>
    <w:p>
      <w:pPr>
        <w:autoSpaceDN w:val="0"/>
        <w:tabs>
          <w:tab w:pos="1836" w:val="left"/>
        </w:tabs>
        <w:autoSpaceDE w:val="0"/>
        <w:widowControl/>
        <w:spacing w:line="245" w:lineRule="auto" w:before="194" w:after="194"/>
        <w:ind w:left="1596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executing an alienation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4" w:after="0"/>
              <w:ind w:left="0" w:right="2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notary executing the Deed of Transfer shall-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duly comply with the provisions of the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Notaries Ordinance (Chapter 107);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994" w:val="left"/>
          <w:tab w:pos="2998" w:val="left"/>
        </w:tabs>
        <w:autoSpaceDE w:val="0"/>
        <w:widowControl/>
        <w:spacing w:line="247" w:lineRule="auto" w:before="304" w:after="200"/>
        <w:ind w:left="257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verification make mention of the matters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2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Registrar of Lands or Registrar of Titles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 shall take cognizance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 the Dead of Transfer is submitted for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registration; and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copy of the Absolute Land Grant forwarded by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8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Committee to the Commissioner-General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Agrarian Development shall be retained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examination of subsequent transfers.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Avoidance of</w:t>
            </w:r>
          </w:p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avoidance of doubt it is hereby declared,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Absolute Land Grant–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doubt.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by the President under this Act shall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1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conclusive proof of absolute title to that land;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admissible and valid before any court,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authority for any transaction, business,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of title, as security for a bond or for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 purpose.</w:t>
      </w:r>
    </w:p>
    <w:p>
      <w:pPr>
        <w:autoSpaceDN w:val="0"/>
        <w:autoSpaceDE w:val="0"/>
        <w:widowControl/>
        <w:spacing w:line="238" w:lineRule="auto" w:before="504" w:after="174"/>
        <w:ind w:left="0" w:right="4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ENERAL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Disclosure of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 member of the Committee, Panel or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Review or any other officer while administering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interests.</w:t>
            </w:r>
          </w:p>
        </w:tc>
      </w:tr>
    </w:tbl>
    <w:p>
      <w:pPr>
        <w:autoSpaceDN w:val="0"/>
        <w:autoSpaceDE w:val="0"/>
        <w:widowControl/>
        <w:spacing w:line="238" w:lineRule="auto" w:before="8" w:after="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provisions of the Act, is directly or indirectly having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6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interest in any matter pertaining to an Applicant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Absolute Land Grant, he shall disclose the nature of the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to the Chairman who would make arrangements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person to be appointed for such purpose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Act or inform the Minister who would </w:t>
      </w:r>
      <w:r>
        <w:rPr>
          <w:rFonts w:ascii="Times" w:hAnsi="Times" w:eastAsia="Times"/>
          <w:b w:val="0"/>
          <w:i w:val="0"/>
          <w:color w:val="000000"/>
          <w:sz w:val="20"/>
        </w:rPr>
        <w:t>appoint another for such purpose.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0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53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State Land (Special Provisions)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90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submitted.</w:t>
            </w:r>
          </w:p>
        </w:tc>
      </w:tr>
      <w:tr>
        <w:trPr>
          <w:trHeight w:hRule="exact" w:val="40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Divisional Secretary of every Divisional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Secretary’s Division shall furnish to the Committee quarterly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as the Committee may direct. The report may include </w:t>
      </w:r>
      <w:r>
        <w:rPr>
          <w:rFonts w:ascii="Times" w:hAnsi="Times" w:eastAsia="Times"/>
          <w:b w:val="0"/>
          <w:i w:val="0"/>
          <w:color w:val="000000"/>
          <w:sz w:val="20"/>
        </w:rPr>
        <w:t>the progress made within the time frames specified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36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the number of applications evaluated and the panels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appointed.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Committee shall submit biannual progress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2"/>
        <w:ind w:left="15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reports containing a chart of matters undertaken within each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0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5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Divisional Secretary’s Division to the Minister. The report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forecast the time frames within which the matters under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2"/>
        <w:ind w:left="159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Act shall be carried out during the ensuing biannual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period. Such report shall be laid before Parliament by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 annually.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make regulations to give effect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principles and provisions of this Act or in respect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4" w:after="0"/>
        <w:ind w:left="159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required by this Act to be prescribed by regulations </w:t>
      </w:r>
      <w:r>
        <w:rPr>
          <w:rFonts w:ascii="Times" w:hAnsi="Times" w:eastAsia="Times"/>
          <w:b w:val="0"/>
          <w:i w:val="0"/>
          <w:color w:val="000000"/>
          <w:sz w:val="20"/>
        </w:rPr>
        <w:t>or in respect of which regulations are authorized to be made.</w:t>
      </w:r>
    </w:p>
    <w:p>
      <w:pPr>
        <w:autoSpaceDN w:val="0"/>
        <w:autoSpaceDE w:val="0"/>
        <w:widowControl/>
        <w:spacing w:line="235" w:lineRule="auto" w:before="272" w:after="12"/>
        <w:ind w:left="18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Without prejudice to the generality of the powers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61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8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conferred by subsection (1), the Minister may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regulations on the following-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format of the application form for an Absolute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Land Grant under section 26;</w:t>
      </w:r>
    </w:p>
    <w:p>
      <w:pPr>
        <w:autoSpaceDN w:val="0"/>
        <w:tabs>
          <w:tab w:pos="2316" w:val="left"/>
          <w:tab w:pos="2346" w:val="left"/>
        </w:tabs>
        <w:autoSpaceDE w:val="0"/>
        <w:widowControl/>
        <w:spacing w:line="247" w:lineRule="auto" w:before="272" w:after="8"/>
        <w:ind w:left="193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concerning further preservation of documents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when required beyond the period specified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2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files to be prepared by the Divisional Secretary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transmit documentation.</w:t>
      </w:r>
    </w:p>
    <w:p>
      <w:pPr>
        <w:autoSpaceDN w:val="0"/>
        <w:autoSpaceDE w:val="0"/>
        <w:widowControl/>
        <w:spacing w:line="250" w:lineRule="auto" w:before="272" w:after="6"/>
        <w:ind w:left="1596" w:right="2592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Every regulation made by the Minister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7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date of such publication or on such later date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the regulations.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7" w:lineRule="auto" w:before="304" w:after="20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8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6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Every regulation which is not so approved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to be rescinded as from the date of such disapproval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without prejudice to anything previously done thereunder.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7" w:lineRule="auto" w:before="200" w:after="20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Notification of the date on which a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6" w:after="0"/>
              <w:ind w:left="0" w:right="5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endorsement on the duplicate copy of the grant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instrument of disposition by the Divisional Secretary shall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Provisions.</w:t>
            </w:r>
          </w:p>
        </w:tc>
      </w:tr>
    </w:tbl>
    <w:p>
      <w:pPr>
        <w:autoSpaceDN w:val="0"/>
        <w:autoSpaceDE w:val="0"/>
        <w:widowControl/>
        <w:spacing w:line="238" w:lineRule="auto" w:before="4" w:after="20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valid for all purposes.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</w:tr>
    </w:tbl>
    <w:p>
      <w:pPr>
        <w:autoSpaceDN w:val="0"/>
        <w:autoSpaceDE w:val="0"/>
        <w:widowControl/>
        <w:spacing w:line="238" w:lineRule="auto" w:before="2" w:after="20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requires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0" w:after="0"/>
              <w:ind w:left="0" w:right="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9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“colonization scheme” includes any scheme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implemented by Land Commissioner’s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Department to settle families on State land;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62" w:after="202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“Crown Lands Ordinance” means the Crown Lands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454);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6" w:after="0"/>
              <w:ind w:left="0" w:right="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9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“Divisional Secretary” under the Transfer of Powers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(Divisional Secretaries) Act, No. 58 of 1992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7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Divisional Secretary of the Divisional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Secretary’s Division within which the land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located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;</w:t>
      </w:r>
    </w:p>
    <w:p>
      <w:pPr>
        <w:autoSpaceDN w:val="0"/>
        <w:autoSpaceDE w:val="0"/>
        <w:widowControl/>
        <w:spacing w:line="238" w:lineRule="auto" w:before="262" w:after="18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“information” includes oral or documentary evidence;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79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“Land Commissioner” means the Land Commissioner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under the Land Development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4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Ordinance (Chapter 464);</w:t>
      </w:r>
    </w:p>
    <w:p>
      <w:pPr>
        <w:autoSpaceDN w:val="0"/>
        <w:tabs>
          <w:tab w:pos="2756" w:val="left"/>
        </w:tabs>
        <w:autoSpaceDE w:val="0"/>
        <w:widowControl/>
        <w:spacing w:line="245" w:lineRule="auto" w:before="262" w:after="0"/>
        <w:ind w:left="22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“Land Development Ordinance” means the 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Development Ordinance (Chapter 464);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State Land (Special Provisions)</w:t>
      </w:r>
    </w:p>
    <w:p>
      <w:pPr>
        <w:autoSpaceDN w:val="0"/>
        <w:autoSpaceDE w:val="0"/>
        <w:widowControl/>
        <w:spacing w:line="245" w:lineRule="auto" w:before="298" w:after="188"/>
        <w:ind w:left="2556" w:right="262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“Land Grants (Special Provisions) Act” means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Grants (Special Provisions) Act, No. 43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1979;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1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3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</w:tabs>
              <w:autoSpaceDE w:val="0"/>
              <w:widowControl/>
              <w:spacing w:line="245" w:lineRule="auto" w:before="60" w:after="0"/>
              <w:ind w:left="31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“land settlement programme” includes any settlement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programme implemented by the Government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  <w:u w:val="single"/>
              </w:rPr>
              <w:t>;</w:t>
            </w:r>
          </w:p>
        </w:tc>
      </w:tr>
    </w:tbl>
    <w:p>
      <w:pPr>
        <w:autoSpaceDN w:val="0"/>
        <w:tabs>
          <w:tab w:pos="2076" w:val="left"/>
          <w:tab w:pos="2556" w:val="left"/>
        </w:tabs>
        <w:autoSpaceDE w:val="0"/>
        <w:widowControl/>
        <w:spacing w:line="246" w:lineRule="exact" w:before="144" w:after="0"/>
        <w:ind w:left="126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“local authority” means the Urban Council, Municipal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 the Pradeshiya Sabha under the Urban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Ordinance (Chapter 255), Municipal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Ordinance (Chapter 252) or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Pradeshiya Sabha Act No. 15 of 1987;</w:t>
      </w:r>
    </w:p>
    <w:p>
      <w:pPr>
        <w:autoSpaceDN w:val="0"/>
        <w:autoSpaceDE w:val="0"/>
        <w:widowControl/>
        <w:spacing w:line="245" w:lineRule="auto" w:before="216" w:after="0"/>
        <w:ind w:left="2556" w:right="262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to whom the subject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is assigned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article 43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autoSpaceDN w:val="0"/>
        <w:autoSpaceDE w:val="0"/>
        <w:widowControl/>
        <w:spacing w:line="235" w:lineRule="auto" w:before="248" w:after="172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“person” means a citizen;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6" w:val="left"/>
              </w:tabs>
              <w:autoSpaceDE w:val="0"/>
              <w:widowControl/>
              <w:spacing w:line="245" w:lineRule="auto" w:before="76" w:after="0"/>
              <w:ind w:left="31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“prescribe” means prescribe by regulations made under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Act;</w:t>
            </w:r>
          </w:p>
        </w:tc>
      </w:tr>
    </w:tbl>
    <w:p>
      <w:pPr>
        <w:autoSpaceDN w:val="0"/>
        <w:tabs>
          <w:tab w:pos="2556" w:val="left"/>
        </w:tabs>
        <w:autoSpaceDE w:val="0"/>
        <w:widowControl/>
        <w:spacing w:line="245" w:lineRule="auto" w:before="188" w:after="0"/>
        <w:ind w:left="2076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“protected area” includes any land reserved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protected by the provisions of—</w:t>
      </w:r>
    </w:p>
    <w:p>
      <w:pPr>
        <w:autoSpaceDN w:val="0"/>
        <w:tabs>
          <w:tab w:pos="2602" w:val="left"/>
          <w:tab w:pos="2916" w:val="left"/>
        </w:tabs>
        <w:autoSpaceDE w:val="0"/>
        <w:widowControl/>
        <w:spacing w:line="276" w:lineRule="exact" w:before="200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the National Environment Act, No. 47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1980;</w:t>
      </w:r>
    </w:p>
    <w:p>
      <w:pPr>
        <w:autoSpaceDN w:val="0"/>
        <w:autoSpaceDE w:val="0"/>
        <w:widowControl/>
        <w:spacing w:line="235" w:lineRule="auto" w:before="21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the Forest Ordinance (Chapter 696);</w:t>
      </w:r>
    </w:p>
    <w:p>
      <w:pPr>
        <w:autoSpaceDN w:val="0"/>
        <w:tabs>
          <w:tab w:pos="2916" w:val="left"/>
        </w:tabs>
        <w:autoSpaceDE w:val="0"/>
        <w:widowControl/>
        <w:spacing w:line="245" w:lineRule="auto" w:before="248" w:after="190"/>
        <w:ind w:left="2492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the National Heritage Wilderness Area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3 of 1988;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4510"/>
        <w:gridCol w:w="4510"/>
      </w:tblGrid>
      <w:tr>
        <w:trPr>
          <w:trHeight w:hRule="exact" w:val="59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4" w:after="0"/>
              <w:ind w:left="0" w:right="50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6" w:val="left"/>
              </w:tabs>
              <w:autoSpaceDE w:val="0"/>
              <w:widowControl/>
              <w:spacing w:line="245" w:lineRule="auto" w:before="60" w:after="0"/>
              <w:ind w:left="54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(iv) the Fauna and Flora Protection Act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496);</w:t>
            </w:r>
          </w:p>
        </w:tc>
      </w:tr>
    </w:tbl>
    <w:p>
      <w:pPr>
        <w:autoSpaceDN w:val="0"/>
        <w:tabs>
          <w:tab w:pos="2916" w:val="left"/>
        </w:tabs>
        <w:autoSpaceDE w:val="0"/>
        <w:widowControl/>
        <w:spacing w:line="245" w:lineRule="auto" w:before="180" w:after="0"/>
        <w:ind w:left="2558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the Coast Conservation Ordinance, No. 57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1981;</w:t>
      </w:r>
    </w:p>
    <w:p>
      <w:pPr>
        <w:autoSpaceDN w:val="0"/>
        <w:autoSpaceDE w:val="0"/>
        <w:widowControl/>
        <w:spacing w:line="238" w:lineRule="auto" w:before="250" w:after="0"/>
        <w:ind w:left="0" w:right="2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(vi) the Antiquities Ordinance (Chapter 188);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8" w:val="left"/>
        </w:tabs>
        <w:autoSpaceDE w:val="0"/>
        <w:widowControl/>
        <w:spacing w:line="244" w:lineRule="exact" w:before="0" w:after="0"/>
        <w:ind w:left="2934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State Land (Special Provisions)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23</w:t>
      </w:r>
    </w:p>
    <w:p>
      <w:pPr>
        <w:autoSpaceDN w:val="0"/>
        <w:tabs>
          <w:tab w:pos="2638" w:val="left"/>
        </w:tabs>
        <w:autoSpaceDE w:val="0"/>
        <w:widowControl/>
        <w:spacing w:line="252" w:lineRule="auto" w:before="310" w:after="0"/>
        <w:ind w:left="22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“reservation area” includes any land reserved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protected by the provisions of—</w:t>
      </w:r>
    </w:p>
    <w:p>
      <w:pPr>
        <w:autoSpaceDN w:val="0"/>
        <w:tabs>
          <w:tab w:pos="3176" w:val="left"/>
          <w:tab w:pos="3238" w:val="left"/>
        </w:tabs>
        <w:autoSpaceDE w:val="0"/>
        <w:widowControl/>
        <w:spacing w:line="252" w:lineRule="auto" w:before="284" w:after="172"/>
        <w:ind w:left="280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 Land (Recovery of Possession)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7 of 1979;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Irrigation  Ordinance (Chapter 453);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Antiquities Ordinance (Chapter 188);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Mahaweli Authority of Sri Lanka  Act,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24"/>
        <w:ind w:left="0" w:right="44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No. 23 of 1979;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0" w:after="0"/>
              <w:ind w:left="0" w:right="5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Urban Development Authority Act,</w:t>
            </w:r>
          </w:p>
        </w:tc>
      </w:tr>
      <w:tr>
        <w:trPr>
          <w:trHeight w:hRule="exact" w:val="404"/>
        </w:trPr>
        <w:tc>
          <w:tcPr>
            <w:tcW w:type="dxa" w:w="300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41 of 1978;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Agrarian Development Act, No. 46 of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24"/>
        <w:ind w:left="0" w:right="5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2000;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6" w:after="0"/>
              <w:ind w:left="0" w:right="44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Thoroughfare Ordinance (Chapter 193);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Sri Lanka Land Reclamation and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Corporation Act, No. 15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1968;</w:t>
      </w:r>
    </w:p>
    <w:p>
      <w:pPr>
        <w:autoSpaceDN w:val="0"/>
        <w:autoSpaceDE w:val="0"/>
        <w:widowControl/>
        <w:spacing w:line="257" w:lineRule="auto" w:before="284" w:after="0"/>
        <w:ind w:left="2638" w:right="2422" w:hanging="3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“registered licensed surveyor” shall have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 in the Survey Act, No. 17 of 2002;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296" w:val="left"/>
          <w:tab w:pos="2638" w:val="left"/>
        </w:tabs>
        <w:autoSpaceDE w:val="0"/>
        <w:widowControl/>
        <w:spacing w:line="250" w:lineRule="exact" w:before="274" w:after="482"/>
        <w:ind w:left="1458" w:right="230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“Registrar-General of Lands” shall include a Deputy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Registrar-General or an Assistant Registrar-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4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732" w:val="left"/>
        </w:tabs>
        <w:autoSpaceDE w:val="0"/>
        <w:widowControl/>
        <w:spacing w:line="266" w:lineRule="exact" w:before="0" w:after="0"/>
        <w:ind w:left="15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State Land (Special Provisions)</w:t>
      </w:r>
    </w:p>
    <w:p>
      <w:pPr>
        <w:autoSpaceDN w:val="0"/>
        <w:autoSpaceDE w:val="0"/>
        <w:widowControl/>
        <w:spacing w:line="238" w:lineRule="auto" w:before="304" w:after="0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</w:t>
      </w:r>
    </w:p>
    <w:p>
      <w:pPr>
        <w:autoSpaceDN w:val="0"/>
        <w:autoSpaceDE w:val="0"/>
        <w:widowControl/>
        <w:spacing w:line="238" w:lineRule="auto" w:before="202" w:after="0"/>
        <w:ind w:left="0" w:right="2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13 (1)(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8" w:lineRule="auto" w:before="202" w:after="0"/>
        <w:ind w:left="0" w:right="32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Endorsement to be made by the Divisional Secretary</w:t>
      </w:r>
    </w:p>
    <w:p>
      <w:pPr>
        <w:autoSpaceDN w:val="0"/>
        <w:autoSpaceDE w:val="0"/>
        <w:widowControl/>
        <w:spacing w:line="247" w:lineRule="auto" w:before="202" w:after="0"/>
        <w:ind w:left="1596" w:right="26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 hereby certify that this is a true copy of the original grant / instrument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disposition being handed to the Divisional Secretary of the Divisional </w:t>
      </w:r>
      <w:r>
        <w:rPr>
          <w:rFonts w:ascii="Times" w:hAnsi="Times" w:eastAsia="Times"/>
          <w:b w:val="0"/>
          <w:i w:val="0"/>
          <w:color w:val="221F1F"/>
          <w:sz w:val="16"/>
        </w:rPr>
        <w:t>Secretary’s Division of ———————————— on ——————</w:t>
      </w:r>
      <w:r>
        <w:rPr>
          <w:rFonts w:ascii="Times" w:hAnsi="Times" w:eastAsia="Times"/>
          <w:b w:val="0"/>
          <w:i w:val="0"/>
          <w:color w:val="221F1F"/>
          <w:sz w:val="16"/>
        </w:rPr>
        <w:t>——————.</w:t>
      </w:r>
    </w:p>
    <w:p>
      <w:pPr>
        <w:autoSpaceDN w:val="0"/>
        <w:autoSpaceDE w:val="0"/>
        <w:widowControl/>
        <w:spacing w:line="247" w:lineRule="auto" w:before="394" w:after="0"/>
        <w:ind w:left="4320" w:right="345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——————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Signature.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Seal.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738" w:space="0"/>
            <w:col w:w="328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0"/>
        <w:ind w:left="0" w:right="0"/>
      </w:pPr>
    </w:p>
    <w:p>
      <w:pPr>
        <w:autoSpaceDN w:val="0"/>
        <w:autoSpaceDE w:val="0"/>
        <w:widowControl/>
        <w:spacing w:line="3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386"/>
        </w:trPr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0" w:right="46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>State Land (Special Provisions)</w:t>
            </w:r>
          </w:p>
        </w:tc>
        <w:tc>
          <w:tcPr>
            <w:tcW w:type="dxa" w:w="187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25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2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5738" w:space="0"/>
        <w:col w:w="3282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