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6" w:after="0"/>
        <w:ind w:left="164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TEA RESEARCH BOARD (AMENDMENT)</w:t>
      </w:r>
    </w:p>
    <w:p>
      <w:pPr>
        <w:autoSpaceDN w:val="0"/>
        <w:autoSpaceDE w:val="0"/>
        <w:widowControl/>
        <w:spacing w:line="238" w:lineRule="auto" w:before="23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82" w:after="0"/>
        <w:ind w:left="21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>amend the Tea Research Board Act, No. 52 of 1993</w:t>
      </w:r>
    </w:p>
    <w:p>
      <w:pPr>
        <w:autoSpaceDN w:val="0"/>
        <w:autoSpaceDE w:val="0"/>
        <w:widowControl/>
        <w:spacing w:line="238" w:lineRule="auto" w:before="1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0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Plantation Industries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05th of April, 2019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28, 2018)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276]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4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 of the Tea Research Board Act, No. 52 of 1993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expand the functions of the Board by including environmental safeguards and </w:t>
      </w:r>
      <w:r>
        <w:rPr>
          <w:rFonts w:ascii="Times" w:hAnsi="Times" w:eastAsia="Times"/>
          <w:b w:val="0"/>
          <w:i w:val="0"/>
          <w:color w:val="221F1F"/>
          <w:sz w:val="16"/>
        </w:rPr>
        <w:t>also to specify to whom research results will be disseminated.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16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as amended is to rectify  inconsistency with other related laws.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14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7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as amended is to restructure the constitution of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22/2014</w:t>
      </w:r>
    </w:p>
    <w:p>
      <w:pPr>
        <w:autoSpaceDN w:val="0"/>
        <w:autoSpaceDE w:val="0"/>
        <w:widowControl/>
        <w:spacing w:line="278" w:lineRule="auto" w:before="380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ESEARCH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1993</w:t>
      </w:r>
    </w:p>
    <w:p>
      <w:pPr>
        <w:autoSpaceDN w:val="0"/>
        <w:autoSpaceDE w:val="0"/>
        <w:widowControl/>
        <w:spacing w:line="278" w:lineRule="auto" w:before="380" w:after="3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Tea Research Board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Tea Research Board Act, No. 52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1993 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Act,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by the substitution for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52 of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1993.</w:t>
            </w:r>
          </w:p>
        </w:tc>
      </w:tr>
      <w:tr>
        <w:trPr>
          <w:trHeight w:hRule="exact" w:val="4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paragraph:–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conduct, assist and encourage scientific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technological research in, and investigations of,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312" w:lineRule="auto" w:before="3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pertaining to the production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of tea, including the prevention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diseases and pests affecting tea,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conservation of soil in tea lands, quality of fertilizer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used, maintaining the quality of tea planting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assessing and dealing with the impact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climate change and diversification of tea products;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disseminate and publish at its discretion,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results of such research to the Tea Small Holdings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 established by the Tea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Holdings Development Law, No.35 of 1975,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 small holders, large scale estate sector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stakeholders;”.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paragraph:-</w:t>
      </w:r>
    </w:p>
    <w:p>
      <w:pPr>
        <w:autoSpaceDN w:val="0"/>
        <w:tabs>
          <w:tab w:pos="1402" w:val="left"/>
          <w:tab w:pos="2802" w:val="left"/>
          <w:tab w:pos="3384" w:val="left"/>
        </w:tabs>
        <w:autoSpaceDE w:val="0"/>
        <w:widowControl/>
        <w:spacing w:line="276" w:lineRule="auto" w:before="30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to prevent the import of any tea planting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except under the authority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Plant Importation Permit issued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of the Tea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Director 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Agriculture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Protection Act, No. 35 of 1999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case of export, to issue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phytosanitary certificate on the request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country of import;</w:t>
      </w:r>
    </w:p>
    <w:p>
      <w:pPr>
        <w:autoSpaceDN w:val="0"/>
        <w:tabs>
          <w:tab w:pos="1362" w:val="left"/>
          <w:tab w:pos="3024" w:val="left"/>
          <w:tab w:pos="3384" w:val="left"/>
        </w:tabs>
        <w:autoSpaceDE w:val="0"/>
        <w:widowControl/>
        <w:spacing w:line="276" w:lineRule="auto" w:before="308" w:after="24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 the purpose of this paragraph “ tea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planting material” includes any kind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planting material that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capable of being used directly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propagules including cuttings, shoots,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scions, stumps, seeds, in vitro cultures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(micro propagules) or any kind of plant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that can be regenerated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 plants indirectly,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form of somatic or reproductive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tissues, organs and also germplasms,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improved varieties, cultivars, wild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forms of tea from any living portion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tea plant capable of being used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propagation;”;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renumbering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 of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1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and the substitution therefor of the following:-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nominated members appointed by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Minister, namely 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representative of the Ministry of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248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Plantation Industries, nominated by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representative of the Ministry of the</w:t>
            </w:r>
          </w:p>
        </w:tc>
      </w:tr>
    </w:tbl>
    <w:p>
      <w:pPr>
        <w:autoSpaceDN w:val="0"/>
        <w:autoSpaceDE w:val="0"/>
        <w:widowControl/>
        <w:spacing w:line="269" w:lineRule="auto" w:before="8" w:after="248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not below the rank of a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Secretary, nominated by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representative of the Sri Lanka Tea</w:t>
            </w:r>
          </w:p>
        </w:tc>
      </w:tr>
    </w:tbl>
    <w:p>
      <w:pPr>
        <w:autoSpaceDN w:val="0"/>
        <w:autoSpaceDE w:val="0"/>
        <w:widowControl/>
        <w:spacing w:line="264" w:lineRule="auto" w:before="14" w:after="250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established by the Sri Lanka Tea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Law, No.14 of 1975, nominated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such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representative of the Tea Small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Holdings Development Authority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Tea Small Holdings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Law, No. 35 of 1975,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members nominated by the Minister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subject of Plantation</w:t>
            </w:r>
          </w:p>
        </w:tc>
      </w:tr>
    </w:tbl>
    <w:p>
      <w:pPr>
        <w:autoSpaceDN w:val="0"/>
        <w:autoSpaceDE w:val="0"/>
        <w:widowControl/>
        <w:spacing w:line="269" w:lineRule="auto" w:before="10" w:after="0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Industries from amongst persons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knowledge and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and development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Agricultural Sector;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Tea Research Board (Amendment)</w:t>
      </w:r>
    </w:p>
    <w:p>
      <w:pPr>
        <w:autoSpaceDN w:val="0"/>
        <w:tabs>
          <w:tab w:pos="3282" w:val="left"/>
        </w:tabs>
        <w:autoSpaceDE w:val="0"/>
        <w:widowControl/>
        <w:spacing w:line="269" w:lineRule="auto" w:before="502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representative of the Planters'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Ceylon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Planters' Association of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291), nominated by</w:t>
      </w:r>
    </w:p>
    <w:p>
      <w:pPr>
        <w:autoSpaceDN w:val="0"/>
        <w:tabs>
          <w:tab w:pos="3282" w:val="left"/>
        </w:tabs>
        <w:autoSpaceDE w:val="0"/>
        <w:widowControl/>
        <w:spacing w:line="266" w:lineRule="auto" w:before="4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Association;</w:t>
      </w:r>
    </w:p>
    <w:p>
      <w:pPr>
        <w:autoSpaceDN w:val="0"/>
        <w:tabs>
          <w:tab w:pos="2802" w:val="left"/>
          <w:tab w:pos="3282" w:val="left"/>
        </w:tabs>
        <w:autoSpaceDE w:val="0"/>
        <w:widowControl/>
        <w:spacing w:line="274" w:lineRule="auto" w:before="28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two members representing the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Unions, who shall be selected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Plantation Industries;</w:t>
      </w:r>
    </w:p>
    <w:p>
      <w:pPr>
        <w:autoSpaceDN w:val="0"/>
        <w:autoSpaceDE w:val="0"/>
        <w:widowControl/>
        <w:spacing w:line="269" w:lineRule="auto" w:before="298" w:after="0"/>
        <w:ind w:left="32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sub-paragraph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“Trade Unions”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the Trade Unions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138);</w:t>
      </w:r>
    </w:p>
    <w:p>
      <w:pPr>
        <w:autoSpaceDN w:val="0"/>
        <w:tabs>
          <w:tab w:pos="2802" w:val="left"/>
          <w:tab w:pos="3282" w:val="left"/>
        </w:tabs>
        <w:autoSpaceDE w:val="0"/>
        <w:widowControl/>
        <w:spacing w:line="271" w:lineRule="auto" w:before="304" w:after="2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a representative of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Federation of Tea Small Holdings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Societies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Tea Small Holdings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Law, No. 35 of 1975,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Federation;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representative of the Sri Lanka Tea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00"/>
        <w:ind w:left="32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Factory Owners’ Association, nominated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that Association.”.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9150" w:after="0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