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23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18,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24.04.2019)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6" w:after="0"/>
        <w:ind w:left="16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MAHAPOLA HIGHER EDUCATION SCHOLARSHIP</w:t>
      </w:r>
    </w:p>
    <w:p>
      <w:pPr>
        <w:autoSpaceDN w:val="0"/>
        <w:autoSpaceDE w:val="0"/>
        <w:widowControl/>
        <w:spacing w:line="238" w:lineRule="auto" w:before="68" w:after="0"/>
        <w:ind w:left="0" w:right="27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TRUST FUND (AMENDMENT)</w:t>
      </w:r>
    </w:p>
    <w:p>
      <w:pPr>
        <w:autoSpaceDN w:val="0"/>
        <w:autoSpaceDE w:val="0"/>
        <w:widowControl/>
        <w:spacing w:line="238" w:lineRule="auto" w:before="15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6" w:after="0"/>
        <w:ind w:left="0" w:right="41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2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Mahapola Higher Education Scholarship Trust Fund </w:t>
      </w:r>
      <w:r>
        <w:rPr>
          <w:rFonts w:ascii="Times,Bold" w:hAnsi="Times,Bold" w:eastAsia="Times,Bold"/>
          <w:b/>
          <w:i w:val="0"/>
          <w:color w:val="221F1F"/>
          <w:sz w:val="20"/>
        </w:rPr>
        <w:t>Act, No. 66 of  1981</w:t>
      </w:r>
    </w:p>
    <w:p>
      <w:pPr>
        <w:autoSpaceDN w:val="0"/>
        <w:autoSpaceDE w:val="0"/>
        <w:widowControl/>
        <w:spacing w:line="245" w:lineRule="auto" w:before="252" w:after="0"/>
        <w:ind w:left="2160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City Planning,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Water Supply and Higher Education</w:t>
      </w:r>
    </w:p>
    <w:p>
      <w:pPr>
        <w:autoSpaceDN w:val="0"/>
        <w:autoSpaceDE w:val="0"/>
        <w:widowControl/>
        <w:spacing w:line="245" w:lineRule="auto" w:before="28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8"/>
        <w:ind w:left="0" w:right="0"/>
      </w:pPr>
    </w:p>
    <w:p>
      <w:pPr>
        <w:autoSpaceDN w:val="0"/>
        <w:tabs>
          <w:tab w:pos="1582" w:val="left"/>
          <w:tab w:pos="1674" w:val="left"/>
          <w:tab w:pos="2062" w:val="left"/>
          <w:tab w:pos="3270" w:val="left"/>
        </w:tabs>
        <w:autoSpaceDE w:val="0"/>
        <w:widowControl/>
        <w:spacing w:line="353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Clauses 2 and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These clauses amend the Mahapola Higher Education Scholarship Trust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 Act, No. 66 of 1981 (hereinafter referred to as the “principal enactment”) and other </w:t>
      </w:r>
      <w:r>
        <w:rPr>
          <w:rFonts w:ascii="Times" w:hAnsi="Times" w:eastAsia="Times"/>
          <w:b w:val="0"/>
          <w:i w:val="0"/>
          <w:color w:val="221F1F"/>
          <w:sz w:val="16"/>
        </w:rPr>
        <w:t>written laws and the  legal effect of the amendment is to replace the words–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“Mahapola Higher Education Scholarship Trust Fund Act” with the words “Lalith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Athulathmudali Mahapola Higher Education Scholarship Trust Fund Act”;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“Mahapola Higher Education Scholarship Trust Fund” with the words “Lalith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Athulathmudali Mahapola Higher Education Scholarship Trust Fund”.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application of that section to the Trustees of the </w:t>
      </w:r>
      <w:r>
        <w:rPr>
          <w:rFonts w:ascii="Times" w:hAnsi="Times" w:eastAsia="Times"/>
          <w:b w:val="0"/>
          <w:i w:val="0"/>
          <w:color w:val="221F1F"/>
          <w:sz w:val="16"/>
        </w:rPr>
        <w:t>Fund.</w:t>
      </w:r>
    </w:p>
    <w:p>
      <w:pPr>
        <w:autoSpaceDN w:val="0"/>
        <w:autoSpaceDE w:val="0"/>
        <w:widowControl/>
        <w:spacing w:line="252" w:lineRule="auto" w:before="214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a new section 15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the provisions of the Offences Against Public </w:t>
      </w:r>
      <w:r>
        <w:rPr>
          <w:rFonts w:ascii="Times" w:hAnsi="Times" w:eastAsia="Times"/>
          <w:b w:val="0"/>
          <w:i w:val="0"/>
          <w:color w:val="221F1F"/>
          <w:sz w:val="16"/>
        </w:rPr>
        <w:t>Property Act, No. 12 of 1982 applicable to the properties of the Fund.</w:t>
      </w:r>
    </w:p>
    <w:p>
      <w:pPr>
        <w:autoSpaceDN w:val="0"/>
        <w:autoSpaceDE w:val="0"/>
        <w:widowControl/>
        <w:spacing w:line="252" w:lineRule="auto" w:before="21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replace the words “Minister in charge of the subject of trade”</w:t>
      </w:r>
      <w:r>
        <w:rPr>
          <w:rFonts w:ascii="Times" w:hAnsi="Times" w:eastAsia="Times"/>
          <w:b w:val="0"/>
          <w:i w:val="0"/>
          <w:color w:val="221F1F"/>
          <w:sz w:val="16"/>
        </w:rPr>
        <w:t>with the words “Minister who has been assigned the subject of Higher Education”.</w:t>
      </w:r>
    </w:p>
    <w:p>
      <w:pPr>
        <w:autoSpaceDN w:val="0"/>
        <w:tabs>
          <w:tab w:pos="1584" w:val="left"/>
        </w:tabs>
        <w:autoSpaceDE w:val="0"/>
        <w:widowControl/>
        <w:spacing w:line="247" w:lineRule="auto" w:before="21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 provisions of this clause are consequential to the amendments made to the </w:t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 by clauses 2 and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Mahapola Higher Education Scholarship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78" w:val="left"/>
          <w:tab w:pos="3192" w:val="left"/>
        </w:tabs>
        <w:autoSpaceDE w:val="0"/>
        <w:widowControl/>
        <w:spacing w:line="418" w:lineRule="auto" w:before="6" w:after="0"/>
        <w:ind w:left="1798" w:right="288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Trust Fund 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58/2018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AHAPOLA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</w:p>
    <w:p>
      <w:pPr>
        <w:autoSpaceDN w:val="0"/>
        <w:autoSpaceDE w:val="0"/>
        <w:widowControl/>
        <w:spacing w:line="238" w:lineRule="auto" w:before="2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CHOLARSHIP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66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36" w:lineRule="auto" w:before="264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Mahapola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8" w:lineRule="auto" w:before="20" w:after="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Education Scholarship Trust Fund (Amendment)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of 2019.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Mahapola Higher Education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Act, No. 66 of 1981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Act,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66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“MAHAPOLA HIGHER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SCHOLARSHIP TRUST FUND”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“LALITH ATHULATHMUDALI MAHAPOLA HIGHER </w:t>
      </w:r>
      <w:r>
        <w:rPr>
          <w:rFonts w:ascii="Times" w:hAnsi="Times" w:eastAsia="Times"/>
          <w:b w:val="0"/>
          <w:i w:val="0"/>
          <w:color w:val="221F1F"/>
          <w:sz w:val="20"/>
        </w:rPr>
        <w:t>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any other written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there shall be substituted-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Act” of the words “Lalith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Athulathmudali 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law.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Act”;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“Mahapola Higher Education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Fund” of the words “Lalith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317" w:lineRule="auto" w:before="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Athulathmudali Mahapola 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such words appear in the principal enactment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“Mahapola 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 Act” and “Mahapola Higher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02" w:val="left"/>
          <w:tab w:pos="3098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Mahapola Higher Education Scholarship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Trust Fund (Amendment)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194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Scholarship Trust Fund” in any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notification, contract, communication, agreement, form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document shall be read and construed as a reference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“Lalith Athulathmudali 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“Lalith Athulathmudali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Mahapola Higher 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“All officers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of the Fund” of the words “All officers, servants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of the Fund”.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 of the principal enactment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Act,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6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movable and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Fund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within the meaning of,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of, the Offences Against Public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1982 to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Act, No. 12 of 1982.”.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4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19 of the principal enactment 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“Minister in charge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subject of Trade.” of the words “Minister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assigned the subject of Higher Education.”.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 it is hereby declared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“Lalith Athulathmudali Mahapola Higher Education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Fund”, shall, for all purposes be deemed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the successor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Mahapola Higher Education Scholarship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Trust Fund (Amendment)</w:t>
      </w:r>
    </w:p>
    <w:p>
      <w:pPr>
        <w:autoSpaceDN w:val="0"/>
        <w:autoSpaceDE w:val="0"/>
        <w:widowControl/>
        <w:spacing w:line="235" w:lineRule="auto" w:before="877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