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tabs>
          <w:tab w:pos="2564" w:val="left"/>
          <w:tab w:pos="3304" w:val="left"/>
          <w:tab w:pos="3462" w:val="left"/>
          <w:tab w:pos="3638" w:val="left"/>
          <w:tab w:pos="3718" w:val="left"/>
        </w:tabs>
        <w:autoSpaceDE w:val="0"/>
        <w:widowControl/>
        <w:spacing w:line="346" w:lineRule="auto" w:before="0" w:after="0"/>
        <w:ind w:left="1598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 LANKA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 April 26, 2019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29.04.2019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92" w:val="left"/>
          <w:tab w:pos="2210" w:val="left"/>
          <w:tab w:pos="2912" w:val="left"/>
          <w:tab w:pos="4316" w:val="left"/>
          <w:tab w:pos="4490" w:val="left"/>
        </w:tabs>
        <w:autoSpaceDE w:val="0"/>
        <w:widowControl/>
        <w:spacing w:line="377" w:lineRule="auto" w:before="408" w:after="0"/>
        <w:ind w:left="159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REVIVAL OF UNDERPERFORMING ENTERPRISES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OR UNDERUTILIZED ASSETS (REPEAL)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BILL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repeal the Revival of Underperforming Enterprises or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Underutilized Assets Act, No. 43 of 2011</w:t>
      </w:r>
    </w:p>
    <w:p>
      <w:pPr>
        <w:autoSpaceDN w:val="0"/>
        <w:autoSpaceDE w:val="0"/>
        <w:widowControl/>
        <w:spacing w:line="305" w:lineRule="auto" w:before="330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Public Enterprise, Kandyan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Heritage and Kandy Development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1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48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5" w:lineRule="auto" w:before="268" w:after="0"/>
        <w:ind w:left="0" w:right="2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L. D.—O. 14/ 2018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76" w:space="0"/>
            <w:col w:w="304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680"/>
        <w:ind w:left="5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76" w:space="0"/>
            <w:col w:w="304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EVIVAL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NDERPERFORMING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NDERUTILIZED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0" w:lineRule="auto" w:before="280" w:after="22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Revival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Underperforming Enterprises or Underutilized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(Repeal) Act, No.  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Revival of Underperforming Enterprises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Underutilized Assets Act, No. 43 of 2011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43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2011.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“repealed Act”) is hereby 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1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 that,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date of commencement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doubt.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 and Schedule II  of the repealed Act </w:t>
      </w:r>
      <w:r>
        <w:rPr>
          <w:rFonts w:ascii="Times" w:hAnsi="Times" w:eastAsia="Times"/>
          <w:b w:val="0"/>
          <w:i w:val="0"/>
          <w:color w:val="000000"/>
          <w:sz w:val="20"/>
        </w:rPr>
        <w:t>vested in the Secretary to the Treasury for and on behalf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State under section 2 of the repealed Act, and subsisting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50" w:lineRule="auto" w:before="8" w:after="22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continue to be so vested in the Secretary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the Treasury for and on behalf of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Revival of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Underperforming Enterprises or Underutilized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43 of 2011—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acts done under or pursuant to the repealed 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control, administration,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revival as the case may be,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Assests including the issuing of shares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all contracts, deeds, bonds, agreements,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memorandum of understandings, guarantees,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76" w:space="0"/>
            <w:col w:w="304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62" w:val="left"/>
          <w:tab w:pos="2802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54" w:lineRule="auto" w:before="262" w:after="14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licences, permits and approvals obtained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2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pursuance thereto, shall continue to be valid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force in accordance with the terms thereof;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otherwise determined by the Minister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0" w:right="3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charge of the subject of Finance—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property movable or immovable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any building and any fixtures 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fittings which are part of such building and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30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appurtenant thereto or treated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part and parcel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liabilities incurred;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rights, powers, privileges, authorities,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obligations, duties and interests;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documents,</w:t>
            </w:r>
          </w:p>
        </w:tc>
      </w:tr>
    </w:tbl>
    <w:p>
      <w:pPr>
        <w:autoSpaceDN w:val="0"/>
        <w:autoSpaceDE w:val="0"/>
        <w:widowControl/>
        <w:spacing w:line="252" w:lineRule="auto" w:before="222" w:after="12"/>
        <w:ind w:left="230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such Underperforming Enterprises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Underutilized Assets,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deemed to be the property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immovable, liabilities, rights,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privileges, authorities, obligations, duties,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books, accounts and documents of the person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whom it had been conferred or vested under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the provisions of the repealed Act, as at</w:t>
            </w:r>
          </w:p>
        </w:tc>
      </w:tr>
    </w:tbl>
    <w:p>
      <w:pPr>
        <w:autoSpaceDN w:val="0"/>
        <w:autoSpaceDE w:val="0"/>
        <w:widowControl/>
        <w:spacing w:line="252" w:lineRule="auto" w:before="6" w:after="222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claim or inquiry initiated under the repealed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for compensation or an award made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compensation, pending settlement on the day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76" w:space="0"/>
            <w:col w:w="304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26" w:lineRule="exact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2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8" w:lineRule="auto" w:before="26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prior to the date of commencement of</w:t>
      </w:r>
    </w:p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be carried on and completed as if there</w:t>
      </w:r>
    </w:p>
    <w:p>
      <w:pPr>
        <w:autoSpaceDN w:val="0"/>
        <w:autoSpaceDE w:val="0"/>
        <w:widowControl/>
        <w:spacing w:line="235" w:lineRule="auto" w:before="28" w:after="222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had been no such repeal.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76" w:space="0"/>
            <w:col w:w="304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4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29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Revival of Underperforming Enterprises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8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8" w:lineRule="auto" w:before="8886" w:after="0"/>
        <w:ind w:left="0" w:right="34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5976" w:space="0"/>
        <w:col w:w="3044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