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8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>COMPANIES  (AMENDMENT)</w:t>
      </w:r>
    </w:p>
    <w:p>
      <w:pPr>
        <w:autoSpaceDN w:val="0"/>
        <w:autoSpaceDE w:val="0"/>
        <w:widowControl/>
        <w:spacing w:line="238" w:lineRule="auto" w:before="3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Companies Act, No. 07 of 2007</w:t>
      </w:r>
    </w:p>
    <w:p>
      <w:pPr>
        <w:autoSpaceDN w:val="0"/>
        <w:autoSpaceDE w:val="0"/>
        <w:widowControl/>
        <w:spacing w:line="238" w:lineRule="auto" w:before="13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22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Industry &amp; Commerce, Resettlement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Protracted Displaced Persons, Co-operative Development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Vocational Training &amp; Skills Development on 07th of May, 2019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02, 2018)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6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18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277]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2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2" w:lineRule="auto" w:before="214" w:after="0"/>
        <w:ind w:left="1430" w:right="134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5 of the Companies Act, No. 07 of 2007 (hereinafter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“principal enactment”) and the legal effect of the section as amended is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enable the Registrar of Companies to notify the general public regarding the incorporation </w:t>
      </w:r>
      <w:r>
        <w:rPr>
          <w:rFonts w:ascii="Times" w:hAnsi="Times" w:eastAsia="Times"/>
          <w:b w:val="0"/>
          <w:i w:val="0"/>
          <w:color w:val="221F1F"/>
          <w:sz w:val="16"/>
        </w:rPr>
        <w:t>of a new company giving certain details of that company.</w:t>
      </w:r>
    </w:p>
    <w:p>
      <w:pPr>
        <w:autoSpaceDN w:val="0"/>
        <w:autoSpaceDE w:val="0"/>
        <w:widowControl/>
        <w:spacing w:line="250" w:lineRule="auto" w:before="216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9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remove the requirement of any company to give public notice </w:t>
      </w:r>
      <w:r>
        <w:rPr>
          <w:rFonts w:ascii="Times" w:hAnsi="Times" w:eastAsia="Times"/>
          <w:b w:val="0"/>
          <w:i w:val="0"/>
          <w:color w:val="221F1F"/>
          <w:sz w:val="16"/>
        </w:rPr>
        <w:t>of the incorporation of the company.</w:t>
      </w:r>
    </w:p>
    <w:p>
      <w:pPr>
        <w:autoSpaceDN w:val="0"/>
        <w:autoSpaceDE w:val="0"/>
        <w:widowControl/>
        <w:spacing w:line="250" w:lineRule="auto" w:before="216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10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enable the Registrar of Companies to  direct a company to </w:t>
      </w:r>
      <w:r>
        <w:rPr>
          <w:rFonts w:ascii="Times" w:hAnsi="Times" w:eastAsia="Times"/>
          <w:b w:val="0"/>
          <w:i w:val="0"/>
          <w:color w:val="221F1F"/>
          <w:sz w:val="16"/>
        </w:rPr>
        <w:t>change its name, taking into consideration the provisions of sections 5(1)(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>) and 9(2).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70/2017</w:t>
      </w:r>
    </w:p>
    <w:p>
      <w:pPr>
        <w:autoSpaceDN w:val="0"/>
        <w:autoSpaceDE w:val="0"/>
        <w:widowControl/>
        <w:spacing w:line="235" w:lineRule="auto" w:before="326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p>
      <w:pPr>
        <w:autoSpaceDN w:val="0"/>
        <w:autoSpaceDE w:val="0"/>
        <w:widowControl/>
        <w:spacing w:line="262" w:lineRule="auto" w:before="32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326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Companies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50" w:after="24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Companies Act, No. 07 of 2007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07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by the repeal of paragraphs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2007.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and the substitution therefor, of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032" w:val="left"/>
          <w:tab w:pos="2518" w:val="left"/>
        </w:tabs>
        <w:autoSpaceDE w:val="0"/>
        <w:widowControl/>
        <w:spacing w:line="274" w:lineRule="auto" w:before="30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assign a unique number to that company as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 number;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0"/>
        <w:ind w:left="21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issue a certificate of incorporation in the prescribed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 to the applicant company; and</w:t>
      </w:r>
    </w:p>
    <w:p>
      <w:pPr>
        <w:autoSpaceDN w:val="0"/>
        <w:tabs>
          <w:tab w:pos="2122" w:val="left"/>
          <w:tab w:pos="2518" w:val="left"/>
        </w:tabs>
        <w:autoSpaceDE w:val="0"/>
        <w:widowControl/>
        <w:spacing w:line="278" w:lineRule="auto" w:before="326" w:after="266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notify the general public, within sixty working days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 the incorporation of a company, by a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a daily newspaper which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circulation in Sinhala, English and Tamil languages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shall specify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of the company;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company registration number; and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address of the registered office of the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51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company.”.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3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0" w:val="left"/>
              </w:tabs>
              <w:autoSpaceDE w:val="0"/>
              <w:widowControl/>
              <w:spacing w:line="367" w:lineRule="auto" w:before="10" w:after="0"/>
              <w:ind w:left="8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(1) thereof;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0" w:val="left"/>
          <w:tab w:pos="2422" w:val="left"/>
        </w:tabs>
        <w:autoSpaceDE w:val="0"/>
        <w:widowControl/>
        <w:spacing w:line="250" w:lineRule="auto" w:before="188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(3)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“subsection (1) or (2)” of the words,</w:t>
      </w:r>
    </w:p>
    <w:p>
      <w:pPr>
        <w:autoSpaceDN w:val="0"/>
        <w:autoSpaceDE w:val="0"/>
        <w:widowControl/>
        <w:spacing w:line="235" w:lineRule="auto" w:before="26" w:after="198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“subsection (2)”.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 the substitution therefor, of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78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request is made to the Registrar to do so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of public notice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name being given under section 5(1)(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9(2) by another company or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overseas company, where –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3384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name of the first mentioned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is so similar to the name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requesting company that it is likely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cause confusion; and</w:t>
      </w:r>
    </w:p>
    <w:p>
      <w:pPr>
        <w:autoSpaceDN w:val="0"/>
        <w:tabs>
          <w:tab w:pos="3024" w:val="left"/>
          <w:tab w:pos="3384" w:val="left"/>
        </w:tabs>
        <w:autoSpaceDE w:val="0"/>
        <w:widowControl/>
        <w:spacing w:line="245" w:lineRule="auto" w:before="244" w:after="432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requesting company was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its current name before the first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company was 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name objected to;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224"/>
        </w:trPr>
        <w:tc>
          <w:tcPr>
            <w:tcW w:type="dxa" w:w="44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8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