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256" w:val="left"/>
        </w:tabs>
        <w:autoSpaceDE w:val="0"/>
        <w:widowControl/>
        <w:spacing w:line="245" w:lineRule="auto" w:before="172" w:after="0"/>
        <w:ind w:left="1618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4"/>
        </w:rPr>
        <w:t xml:space="preserve">SRI LANKA LAND RECLAMATION AND </w:t>
      </w:r>
      <w:r>
        <w:rPr>
          <w:rFonts w:ascii="Times,Bold" w:hAnsi="Times,Bold" w:eastAsia="Times,Bold"/>
          <w:b/>
          <w:i w:val="0"/>
          <w:color w:val="000000"/>
          <w:sz w:val="24"/>
        </w:rPr>
        <w:t>DEVELOPMENT CORPORATION (AMENDMENT)</w:t>
      </w:r>
    </w:p>
    <w:p>
      <w:pPr>
        <w:autoSpaceDN w:val="0"/>
        <w:autoSpaceDE w:val="0"/>
        <w:widowControl/>
        <w:spacing w:line="235" w:lineRule="auto" w:before="27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60" w:after="0"/>
        <w:ind w:left="0" w:right="43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274" w:after="0"/>
        <w:ind w:left="2448" w:right="2448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Sri Lanka Land Reclamation and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Development Corporation Act, No. 15 of 1968</w:t>
      </w:r>
    </w:p>
    <w:p>
      <w:pPr>
        <w:autoSpaceDN w:val="0"/>
        <w:autoSpaceDE w:val="0"/>
        <w:widowControl/>
        <w:spacing w:line="235" w:lineRule="auto" w:before="154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5" w:lineRule="auto" w:before="220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 Megapolis and Western Development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07th of May, 2019</w:t>
      </w:r>
    </w:p>
    <w:p>
      <w:pPr>
        <w:autoSpaceDN w:val="0"/>
        <w:autoSpaceDE w:val="0"/>
        <w:widowControl/>
        <w:spacing w:line="238" w:lineRule="auto" w:before="252" w:after="0"/>
        <w:ind w:left="0" w:right="2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October 26, 2018)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1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278]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4"/>
        <w:ind w:left="0" w:right="0"/>
      </w:pPr>
    </w:p>
    <w:p>
      <w:pPr>
        <w:autoSpaceDN w:val="0"/>
        <w:autoSpaceDE w:val="0"/>
        <w:widowControl/>
        <w:spacing w:line="194" w:lineRule="exact" w:before="0" w:after="0"/>
        <w:ind w:left="0" w:right="3256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194" w:after="0"/>
        <w:ind w:left="1430" w:right="1350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amends the long title to the Sri Lanka Land Reclamation and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Development Corporation Act, No. 15 of 1968 and the legal effect of that section is to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change the name of the  “Sri Lanka Land Reclamation and Development Corporation” to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“Sri Lanka Land  Development Corporation”.</w:t>
      </w:r>
    </w:p>
    <w:p>
      <w:pPr>
        <w:autoSpaceDN w:val="0"/>
        <w:tabs>
          <w:tab w:pos="1670" w:val="left"/>
        </w:tabs>
        <w:autoSpaceDE w:val="0"/>
        <w:widowControl/>
        <w:spacing w:line="192" w:lineRule="exact" w:before="120" w:after="0"/>
        <w:ind w:left="1430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Clauses 3 &amp; 4: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 The amendments made by these Clauses are consequential to the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amendment made by Clause 2.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Reclamation and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Development Corporation (Amendment)</w:t>
      </w:r>
    </w:p>
    <w:p>
      <w:pPr>
        <w:autoSpaceDN w:val="0"/>
        <w:autoSpaceDE w:val="0"/>
        <w:widowControl/>
        <w:spacing w:line="235" w:lineRule="auto" w:before="25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54/2018</w:t>
      </w:r>
    </w:p>
    <w:p>
      <w:pPr>
        <w:autoSpaceDN w:val="0"/>
        <w:autoSpaceDE w:val="0"/>
        <w:widowControl/>
        <w:spacing w:line="247" w:lineRule="auto" w:before="260" w:after="0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ECLAMATION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EVELOPMENT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C</w:t>
      </w:r>
      <w:r>
        <w:rPr>
          <w:rFonts w:ascii="Times" w:hAnsi="Times" w:eastAsia="Times"/>
          <w:b w:val="0"/>
          <w:i w:val="0"/>
          <w:color w:val="221F1F"/>
          <w:sz w:val="14"/>
        </w:rPr>
        <w:t>ORPORATION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1968</w:t>
      </w:r>
    </w:p>
    <w:p>
      <w:pPr>
        <w:autoSpaceDN w:val="0"/>
        <w:autoSpaceDE w:val="0"/>
        <w:widowControl/>
        <w:spacing w:line="247" w:lineRule="auto" w:before="26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47" w:lineRule="auto" w:before="260" w:after="8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Sri Lanka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title. </w:t>
      </w:r>
      <w:r>
        <w:rPr>
          <w:rFonts w:ascii="Times" w:hAnsi="Times" w:eastAsia="Times"/>
          <w:b w:val="0"/>
          <w:i w:val="0"/>
          <w:color w:val="221F1F"/>
          <w:sz w:val="20"/>
        </w:rPr>
        <w:t>Reclamation and Development Corporation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of 2019.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Long title to the  Sri Lanka Land Reclamation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Development Corporation Act, No. 15 of 1968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Long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title to Act,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15 of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“Sri Lanka Land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1968.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Reclamation and Development Corporation” wherever such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0" w:after="20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appear in the Long title of the words “Sri Lanka Land </w:t>
      </w:r>
      <w:r>
        <w:rPr>
          <w:rFonts w:ascii="Times" w:hAnsi="Times" w:eastAsia="Times"/>
          <w:b w:val="0"/>
          <w:i w:val="0"/>
          <w:color w:val="221F1F"/>
          <w:sz w:val="20"/>
        </w:rPr>
        <w:t>Development Corporation”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the principal enactment and any other written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there shall be substituted for the words “Sri Lanka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Land Reclamation and Development Corporation” wherever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words appear in the principal enactment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of the words “Sri Lanka Land Development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other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written law.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reference to the “Sri Lanka Land Reclamation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Development Corporation” in any notice, notification,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6" w:after="20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contract, communication or other document, shall be read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construed as a reference to the “Sri Lanka Land </w:t>
      </w:r>
      <w:r>
        <w:rPr>
          <w:rFonts w:ascii="Times" w:hAnsi="Times" w:eastAsia="Times"/>
          <w:b w:val="0"/>
          <w:i w:val="0"/>
          <w:color w:val="221F1F"/>
          <w:sz w:val="20"/>
        </w:rPr>
        <w:t>Development Corporation”.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avoidance of doubts it is hereby declared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Avoidance of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“Sri Lanka Land Development Corporation” shall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doubts.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all purposes be deemed to be the successor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“Sri Lanka Land Reclamation and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Lanka Land Reclamation and</w:t>
      </w:r>
    </w:p>
    <w:p>
      <w:pPr>
        <w:autoSpaceDN w:val="0"/>
        <w:autoSpaceDE w:val="0"/>
        <w:widowControl/>
        <w:spacing w:line="235" w:lineRule="auto" w:before="14" w:after="210"/>
        <w:ind w:left="0" w:right="329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Development Corporation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8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358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14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Reclamation and</w:t>
            </w:r>
          </w:p>
        </w:tc>
        <w:tc>
          <w:tcPr>
            <w:tcW w:type="dxa" w:w="1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1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Development Corporation (Amendment)</w:t>
      </w:r>
    </w:p>
    <w:p>
      <w:pPr>
        <w:autoSpaceDN w:val="0"/>
        <w:autoSpaceDE w:val="0"/>
        <w:widowControl/>
        <w:spacing w:line="235" w:lineRule="auto" w:before="877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