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24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 May 17, 2019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17.05.2019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44" w:after="0"/>
        <w:ind w:left="215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PROVINCIAL COUNCILS (AMENDMENT)</w:t>
      </w:r>
    </w:p>
    <w:p>
      <w:pPr>
        <w:autoSpaceDN w:val="0"/>
        <w:autoSpaceDE w:val="0"/>
        <w:widowControl/>
        <w:spacing w:line="238" w:lineRule="auto" w:before="226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12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412" w:after="0"/>
        <w:ind w:left="0" w:right="222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Provincial Councils Act, No. 42 of 1987</w:t>
      </w:r>
    </w:p>
    <w:p>
      <w:pPr>
        <w:autoSpaceDN w:val="0"/>
        <w:autoSpaceDE w:val="0"/>
        <w:widowControl/>
        <w:spacing w:line="245" w:lineRule="auto" w:before="404" w:after="0"/>
        <w:ind w:left="1440" w:right="144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Minister of Internal and Home Affairs and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Provincial Councils and Local Government</w:t>
      </w:r>
    </w:p>
    <w:p>
      <w:pPr>
        <w:autoSpaceDN w:val="0"/>
        <w:autoSpaceDE w:val="0"/>
        <w:widowControl/>
        <w:spacing w:line="245" w:lineRule="auto" w:before="56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154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8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7" w:lineRule="auto" w:before="220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19 of the Provincial Councils Act, No. 42 of 1987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the legal effect of the section as amended is to provide for the payment of all other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receipts of Provincial Council other than the receipts of the Municipal Councils Ordinance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(Chapter 252), the Urban Councils Ordinance (Chapter 255) and the Pradeshiya Sabhas Act, </w:t>
      </w:r>
      <w:r>
        <w:rPr>
          <w:rFonts w:ascii="Times" w:hAnsi="Times" w:eastAsia="Times"/>
          <w:b w:val="0"/>
          <w:i w:val="0"/>
          <w:color w:val="221F1F"/>
          <w:sz w:val="16"/>
        </w:rPr>
        <w:t>No. 15 of 1987 into the Provincial Fund.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2810" w:val="left"/>
        </w:tabs>
        <w:autoSpaceDE w:val="0"/>
        <w:widowControl/>
        <w:spacing w:line="396" w:lineRule="exact" w:before="0" w:after="0"/>
        <w:ind w:left="1798" w:right="144" w:firstLine="0"/>
        <w:jc w:val="left"/>
      </w:pPr>
      <w:r>
        <w:tab/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 Provincial Councils (Amendment) </w:t>
      </w:r>
      <w:r>
        <w:rPr>
          <w:rFonts w:ascii="Times" w:hAnsi="Times" w:eastAsia="Times"/>
          <w:b w:val="0"/>
          <w:i w:val="0"/>
          <w:color w:val="000000"/>
          <w:sz w:val="20"/>
        </w:rPr>
        <w:t>L.D.—O. 64/2016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5800" w:space="0"/>
            <w:col w:w="32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400" w:after="526"/>
        <w:ind w:left="696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>1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5800" w:space="0"/>
            <w:col w:w="32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57" w:lineRule="auto" w:before="0" w:after="0"/>
        <w:ind w:left="2304" w:right="302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OUNCILS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42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1987</w:t>
      </w:r>
    </w:p>
    <w:p>
      <w:pPr>
        <w:autoSpaceDN w:val="0"/>
        <w:autoSpaceDE w:val="0"/>
        <w:widowControl/>
        <w:spacing w:line="257" w:lineRule="auto" w:before="306" w:after="24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Provincial Councils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18" w:after="236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(Amendment) Act, No.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9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19 of the Provincial Councils Act, No. 42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 of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19 of</w:t>
            </w:r>
          </w:p>
        </w:tc>
      </w:tr>
      <w:tr>
        <w:trPr>
          <w:trHeight w:hRule="exact" w:val="1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1987 is hereby amended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42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 of that section and the substitution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1987.</w:t>
            </w:r>
          </w:p>
        </w:tc>
      </w:tr>
    </w:tbl>
    <w:p>
      <w:pPr>
        <w:autoSpaceDN w:val="0"/>
        <w:autoSpaceDE w:val="0"/>
        <w:widowControl/>
        <w:spacing w:line="238" w:lineRule="auto" w:before="8" w:after="23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following paragraph therefor:—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0" w:right="1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other receipts of the Provincial Council other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the receipts of the Municipal Councils, Urban</w:t>
            </w:r>
          </w:p>
        </w:tc>
      </w:tr>
    </w:tbl>
    <w:p>
      <w:pPr>
        <w:autoSpaceDN w:val="0"/>
        <w:autoSpaceDE w:val="0"/>
        <w:widowControl/>
        <w:spacing w:line="259" w:lineRule="auto" w:before="4" w:after="14"/>
        <w:ind w:left="2516" w:right="244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Councils and the Pradeshiya Sabhas under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Municipal Councils Ordinance (Chapter 252),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Urban Councils Ordinance (Chapter 255)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8" w:after="0"/>
              <w:ind w:left="0" w:right="6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Pradeshiya Sabhas Act, No. 15 of 1987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 to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respectively.”.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in case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5800" w:space="0"/>
            <w:col w:w="32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7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50.0" w:type="dxa"/>
      </w:tblPr>
      <w:tblGrid>
        <w:gridCol w:w="4510"/>
        <w:gridCol w:w="4510"/>
      </w:tblGrid>
      <w:tr>
        <w:trPr>
          <w:trHeight w:hRule="exact" w:val="9516"/>
        </w:trPr>
        <w:tc>
          <w:tcPr>
            <w:tcW w:type="dxa" w:w="89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4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6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80" w:after="0"/>
              <w:ind w:left="468" w:right="0" w:firstLine="0"/>
              <w:jc w:val="left"/>
            </w:pPr>
            <w:r>
              <w:rPr>
                <w:rFonts w:ascii="TimesNewRoman,Italic" w:hAnsi="TimesNewRoman,Italic" w:eastAsia="TimesNewRoman,Italic"/>
                <w:b w:val="0"/>
                <w:i/>
                <w:color w:val="221F1F"/>
                <w:sz w:val="20"/>
              </w:rPr>
              <w:t xml:space="preserve"> Provincial Councils (Amendment)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34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5800" w:space="0"/>
        <w:col w:w="32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