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4" w:after="0"/>
        <w:ind w:left="218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8"/>
        </w:rPr>
        <w:t>PEOPLE’S BANK (AMENDMENT)</w:t>
      </w:r>
    </w:p>
    <w:p>
      <w:pPr>
        <w:autoSpaceDN w:val="0"/>
        <w:autoSpaceDE w:val="0"/>
        <w:widowControl/>
        <w:spacing w:line="238" w:lineRule="auto" w:before="30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0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People’s Bank Act, No. 29 of 1961</w:t>
      </w:r>
    </w:p>
    <w:p>
      <w:pPr>
        <w:autoSpaceDN w:val="0"/>
        <w:autoSpaceDE w:val="0"/>
        <w:widowControl/>
        <w:spacing w:line="238" w:lineRule="auto" w:before="1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880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Finance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24th of May, 2019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09, 2018)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9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9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282]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24" w:right="135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12 of the People’s Bank Act, No. 29 of 1961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by increasing the authorised capital of </w:t>
      </w:r>
      <w:r>
        <w:rPr>
          <w:rFonts w:ascii="Times" w:hAnsi="Times" w:eastAsia="Times"/>
          <w:b w:val="0"/>
          <w:i w:val="0"/>
          <w:color w:val="221F1F"/>
          <w:sz w:val="16"/>
        </w:rPr>
        <w:t>the Bank.</w:t>
      </w:r>
    </w:p>
    <w:p>
      <w:pPr>
        <w:autoSpaceDN w:val="0"/>
        <w:tabs>
          <w:tab w:pos="1664" w:val="left"/>
        </w:tabs>
        <w:autoSpaceDE w:val="0"/>
        <w:widowControl/>
        <w:spacing w:line="245" w:lineRule="auto" w:before="202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20 of the principal enactment enabling the Bank to </w:t>
      </w:r>
      <w:r>
        <w:rPr>
          <w:rFonts w:ascii="Times" w:hAnsi="Times" w:eastAsia="Times"/>
          <w:b w:val="0"/>
          <w:i w:val="0"/>
          <w:color w:val="221F1F"/>
          <w:sz w:val="16"/>
        </w:rPr>
        <w:t>raise any sums by the issue of debentures.</w:t>
      </w:r>
    </w:p>
    <w:p>
      <w:pPr>
        <w:autoSpaceDN w:val="0"/>
        <w:tabs>
          <w:tab w:pos="1664" w:val="left"/>
        </w:tabs>
        <w:autoSpaceDE w:val="0"/>
        <w:widowControl/>
        <w:spacing w:line="245" w:lineRule="auto" w:before="202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4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21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3.</w:t>
      </w:r>
    </w:p>
    <w:p>
      <w:pPr>
        <w:autoSpaceDN w:val="0"/>
        <w:tabs>
          <w:tab w:pos="1664" w:val="left"/>
        </w:tabs>
        <w:autoSpaceDE w:val="0"/>
        <w:widowControl/>
        <w:spacing w:line="245" w:lineRule="auto" w:before="202" w:after="0"/>
        <w:ind w:left="142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43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People's Bank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46/2013</w:t>
      </w:r>
    </w:p>
    <w:p>
      <w:pPr>
        <w:autoSpaceDN w:val="0"/>
        <w:autoSpaceDE w:val="0"/>
        <w:widowControl/>
        <w:spacing w:line="238" w:lineRule="auto" w:before="27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1961</w:t>
      </w:r>
    </w:p>
    <w:p>
      <w:pPr>
        <w:autoSpaceDN w:val="0"/>
        <w:autoSpaceDE w:val="0"/>
        <w:widowControl/>
        <w:spacing w:line="250" w:lineRule="auto" w:before="276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People's Bank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People's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29 of 1961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12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1961.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4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>Capital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12. (1) The authorized capital of the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rupees fifty billion divided into one</w:t>
      </w:r>
    </w:p>
    <w:p>
      <w:pPr>
        <w:autoSpaceDN w:val="0"/>
        <w:tabs>
          <w:tab w:pos="2878" w:val="left"/>
        </w:tabs>
        <w:autoSpaceDE w:val="0"/>
        <w:widowControl/>
        <w:spacing w:line="269" w:lineRule="auto" w:before="2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billion shares of rupees fifty each.</w:t>
      </w:r>
    </w:p>
    <w:p>
      <w:pPr>
        <w:autoSpaceDN w:val="0"/>
        <w:autoSpaceDE w:val="0"/>
        <w:widowControl/>
        <w:spacing w:line="257" w:lineRule="auto" w:before="246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Minister may, in the interest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economy, where he deems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necessary, determine from time to time the paid-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 capital of the Bank, by Order published in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2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Gezette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52" w:after="216"/>
        <w:ind w:left="2876" w:right="2422" w:firstLine="51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Every Order made by the Minister,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brought before Parliament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20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raise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the issue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debentures</w:t>
            </w:r>
          </w:p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8" w:after="0"/>
              <w:ind w:left="13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20. (1) The Bank may, in addition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sums lent by the Government to the Bank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for the purpose of granting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2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granting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long term or medium term loans, raise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38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medium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long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loans.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of the Minister any sums by the issue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debentures.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7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People's Bank (Amendment)</w:t>
      </w:r>
    </w:p>
    <w:p>
      <w:pPr>
        <w:autoSpaceDN w:val="0"/>
        <w:autoSpaceDE w:val="0"/>
        <w:widowControl/>
        <w:spacing w:line="247" w:lineRule="auto" w:before="486" w:after="192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 of subsection (1)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assigned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of Finance.”.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5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(3) of that 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43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44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55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50"/>
        </w:trPr>
        <w:tc>
          <w:tcPr>
            <w:tcW w:type="dxa" w:w="44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People's Bank (Amendment)</w:t>
            </w:r>
          </w:p>
        </w:tc>
        <w:tc>
          <w:tcPr>
            <w:tcW w:type="dxa" w:w="17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