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570" w:lineRule="exact" w:before="50" w:after="0"/>
        <w:ind w:left="3312" w:right="3168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 xml:space="preserve">Part II of May 24, 2019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27.05.2019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4" w:lineRule="exact" w:before="190" w:after="0"/>
        <w:ind w:left="2016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 xml:space="preserve">SHRAMA VASANA FUND (AMENDMENT) </w:t>
      </w:r>
      <w:r>
        <w:rPr>
          <w:rFonts w:ascii="TimesNewRomanPS" w:hAnsi="TimesNewRomanPS" w:eastAsia="TimesNewRomanP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Shrama Vasana Fund Act, No. 12 of 1998</w:t>
      </w:r>
    </w:p>
    <w:p>
      <w:pPr>
        <w:autoSpaceDN w:val="0"/>
        <w:autoSpaceDE w:val="0"/>
        <w:widowControl/>
        <w:spacing w:line="240" w:lineRule="exact" w:before="392" w:after="0"/>
        <w:ind w:left="2592" w:right="2448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Ordered to be published by the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Minister of  Labour and Trade Union Relations</w:t>
      </w:r>
    </w:p>
    <w:p>
      <w:pPr>
        <w:autoSpaceDN w:val="0"/>
        <w:autoSpaceDE w:val="0"/>
        <w:widowControl/>
        <w:spacing w:line="235" w:lineRule="auto" w:before="38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0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Shrama Vasana Fund Act, No. 12 of 1998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amended </w:t>
      </w:r>
      <w:r>
        <w:rPr>
          <w:rFonts w:ascii="Times" w:hAnsi="Times" w:eastAsia="Times"/>
          <w:b w:val="0"/>
          <w:i w:val="0"/>
          <w:color w:val="221F1F"/>
          <w:sz w:val="16"/>
        </w:rPr>
        <w:t>is to increase  the membership of the Board of Trustees of the Shrama Vasana Fund.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2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widen the objects of the Shrama Vasana Fund by–</w:t>
      </w:r>
    </w:p>
    <w:p>
      <w:pPr>
        <w:autoSpaceDN w:val="0"/>
        <w:tabs>
          <w:tab w:pos="2542" w:val="left"/>
        </w:tabs>
        <w:autoSpaceDE w:val="0"/>
        <w:widowControl/>
        <w:spacing w:line="247" w:lineRule="auto" w:before="220" w:after="0"/>
        <w:ind w:left="2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extending the welfare and medical facilities to the dependents of the employees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Fund; and</w:t>
      </w:r>
    </w:p>
    <w:p>
      <w:pPr>
        <w:autoSpaceDN w:val="0"/>
        <w:tabs>
          <w:tab w:pos="2542" w:val="left"/>
        </w:tabs>
        <w:autoSpaceDE w:val="0"/>
        <w:widowControl/>
        <w:spacing w:line="247" w:lineRule="auto" w:before="220" w:after="0"/>
        <w:ind w:left="2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enabling to provide financial relief to obtain legal assistance to employees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case of termination of employment or in case of industrial dispute.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make certain amendments to the powers and functions of the National </w:t>
      </w:r>
      <w:r>
        <w:rPr>
          <w:rFonts w:ascii="Times" w:hAnsi="Times" w:eastAsia="Times"/>
          <w:b w:val="0"/>
          <w:i w:val="0"/>
          <w:color w:val="221F1F"/>
          <w:sz w:val="16"/>
        </w:rPr>
        <w:t>Lotteries Board.</w:t>
      </w:r>
    </w:p>
    <w:p>
      <w:pPr>
        <w:autoSpaceDN w:val="0"/>
        <w:autoSpaceDE w:val="0"/>
        <w:widowControl/>
        <w:spacing w:line="252" w:lineRule="auto" w:before="21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13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incorporate in that section certain provisions applicable for the Lottery </w:t>
      </w:r>
      <w:r>
        <w:rPr>
          <w:rFonts w:ascii="Times" w:hAnsi="Times" w:eastAsia="Times"/>
          <w:b w:val="0"/>
          <w:i w:val="0"/>
          <w:color w:val="221F1F"/>
          <w:sz w:val="16"/>
        </w:rPr>
        <w:t>conducted by the National Lotteries Board under the provisions of the principal enactment.</w:t>
      </w:r>
    </w:p>
    <w:p>
      <w:pPr>
        <w:autoSpaceDN w:val="0"/>
        <w:autoSpaceDE w:val="0"/>
        <w:widowControl/>
        <w:spacing w:line="252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14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is to set out the procedure to be followed in making rules by the National </w:t>
      </w:r>
      <w:r>
        <w:rPr>
          <w:rFonts w:ascii="Times" w:hAnsi="Times" w:eastAsia="Times"/>
          <w:b w:val="0"/>
          <w:i w:val="0"/>
          <w:color w:val="221F1F"/>
          <w:sz w:val="16"/>
        </w:rPr>
        <w:t>Lotteries Board.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2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21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section as amended is to insert a new definition for the expression “Minister”.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43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42/2013</w:t>
      </w:r>
    </w:p>
    <w:p>
      <w:pPr>
        <w:autoSpaceDN w:val="0"/>
        <w:autoSpaceDE w:val="0"/>
        <w:widowControl/>
        <w:spacing w:line="254" w:lineRule="auto" w:before="294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HRAMA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ASANA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1998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Shrama Vasana Fund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Shrama Vasana Fund Act, No. 12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1998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 of 1998.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thereof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subsection:—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92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“(1) The Board shall consist of—</w:t>
      </w:r>
    </w:p>
    <w:p>
      <w:pPr>
        <w:autoSpaceDN w:val="0"/>
        <w:tabs>
          <w:tab w:pos="3478" w:val="left"/>
        </w:tabs>
        <w:autoSpaceDE w:val="0"/>
        <w:widowControl/>
        <w:spacing w:line="254" w:lineRule="auto" w:before="286" w:after="0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namely—</w:t>
      </w:r>
    </w:p>
    <w:p>
      <w:pPr>
        <w:autoSpaceDN w:val="0"/>
        <w:tabs>
          <w:tab w:pos="3538" w:val="left"/>
          <w:tab w:pos="3898" w:val="left"/>
        </w:tabs>
        <w:autoSpaceDE w:val="0"/>
        <w:widowControl/>
        <w:spacing w:line="264" w:lineRule="auto" w:before="294" w:after="234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“Chairman”);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 General of  Labour;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Manager of the National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Lotteries Board;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representative of the Ministry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Finance, nominated by the Minister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5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Shrama Vasana Fund (Amendment)</w:t>
      </w:r>
    </w:p>
    <w:p>
      <w:pPr>
        <w:autoSpaceDN w:val="0"/>
        <w:autoSpaceDE w:val="0"/>
        <w:widowControl/>
        <w:spacing w:line="245" w:lineRule="auto" w:before="476" w:after="182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subject of Finance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 persons appointed by the Minister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“appointed members”).”.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subsecion (1)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thereof, of the following new subsection:—</w:t>
      </w:r>
    </w:p>
    <w:p>
      <w:pPr>
        <w:autoSpaceDN w:val="0"/>
        <w:tabs>
          <w:tab w:pos="2662" w:val="left"/>
          <w:tab w:pos="296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(1A) Every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ex-officio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in the Board as long as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holds the office by virtue of which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appointed to the Board.”;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words,“three members.”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words, “five members.”.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word, “employees;” of the words, “employees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7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their dependents;”;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word, “employees” of the words, “employees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dependents”;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paragraph:—</w:t>
      </w:r>
    </w:p>
    <w:p>
      <w:pPr>
        <w:autoSpaceDN w:val="0"/>
        <w:tabs>
          <w:tab w:pos="2588" w:val="left"/>
          <w:tab w:pos="3262" w:val="left"/>
        </w:tabs>
        <w:autoSpaceDE w:val="0"/>
        <w:widowControl/>
        <w:spacing w:line="250" w:lineRule="auto" w:before="212" w:after="4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to provide financial relief to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assistance to employees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respect of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employment of an employee or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industrial dispute, is initiated or pending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any written law,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before the Commissioner General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75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Shrama Vasana Fund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6" w:after="0"/>
        <w:ind w:left="3312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Labour, a Labour Tribunal, an Arbitrator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 Industrial Court or any court of law;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financial relief provided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8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shall be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as the Board may determine by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rules made in that behalf under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and the substitution therefor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arrange for the conduct of a Lottery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Lotteries Board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inclusion of the expression “Shrama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Vasana” on the face of each such lottery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ticket.”;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that section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propagate the lotteries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for the purpose of the Fund;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58" w:val="left"/>
          <w:tab w:pos="3058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such Lottery shall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“Shrama Vasana” on the face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Lottery ticket and shall be conducted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may  be agreed between the Fund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Lotteries Board.”;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 of the following subsection:—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52" w:lineRule="auto" w:before="264" w:after="0"/>
        <w:ind w:left="14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“(2A) The agreement between the Fund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Lotteries Board shall include provisions,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pertaining to –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prizes to be awarded in the Lotteries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conducted;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6" w:after="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unclaimed prizes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such Lotteries are to be dealt with;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to be allocated from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proceeds of the Lotteries to the Fund.”.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14;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renumbered subsection (1)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words, “performance of its powers,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functions.” of the words, “performance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or any matter for which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are authorized or required by this Act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made.”;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 of the following subsections:—</w:t>
      </w:r>
    </w:p>
    <w:p>
      <w:pPr>
        <w:autoSpaceDN w:val="0"/>
        <w:tabs>
          <w:tab w:pos="2662" w:val="left"/>
          <w:tab w:pos="2664" w:val="left"/>
          <w:tab w:pos="296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rule made by the Board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Minister, and be published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come into operation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its publication or on such later date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75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Shrama Vasana Fund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50" w:lineRule="auto" w:before="482" w:after="194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not later than six months after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A notification of the date of such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disapproval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 the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21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“Local Authority”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“Minister” means, the Minister to whom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4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4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