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32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 07,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10.06.2019)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44" w:after="0"/>
        <w:ind w:left="0" w:right="25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IMMIGRANTS AND EMIGRANTS</w:t>
      </w:r>
    </w:p>
    <w:p>
      <w:pPr>
        <w:autoSpaceDN w:val="0"/>
        <w:autoSpaceDE w:val="0"/>
        <w:widowControl/>
        <w:spacing w:line="238" w:lineRule="auto" w:before="68" w:after="0"/>
        <w:ind w:left="0" w:right="35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206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Immigrants and Emigrants Act (Chapter 351)</w:t>
      </w:r>
    </w:p>
    <w:p>
      <w:pPr>
        <w:autoSpaceDN w:val="0"/>
        <w:autoSpaceDE w:val="0"/>
        <w:widowControl/>
        <w:spacing w:line="245" w:lineRule="auto" w:before="262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Internal &amp; Home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Provincial Councils &amp; Local Government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14 of the Immigrants and Emigrants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351) and the legal effect of that clause is to increase the period of a visa and to </w:t>
      </w:r>
      <w:r>
        <w:rPr>
          <w:rFonts w:ascii="Times" w:hAnsi="Times" w:eastAsia="Times"/>
          <w:b w:val="0"/>
          <w:i w:val="0"/>
          <w:color w:val="221F1F"/>
          <w:sz w:val="16"/>
        </w:rPr>
        <w:t>make provisions for the Minister to determine the period of permanent residence visa.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24/2018</w:t>
      </w:r>
    </w:p>
    <w:p>
      <w:pPr>
        <w:autoSpaceDN w:val="0"/>
        <w:autoSpaceDE w:val="0"/>
        <w:widowControl/>
        <w:spacing w:line="250" w:lineRule="auto" w:before="27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MMIGRANTS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351)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218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Immigrants and Emigrants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Immigrants and Emigrants Act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 is hereby 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351.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8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“two years,” of the words “five years,”;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“exceeding two years but not exceeding five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years,” of the words “exceeding five years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exceeding ten years,”;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subsection:-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57" w:lineRule="auto" w:before="27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“(3A)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time limits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and (2),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permanent residence visa may be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Minister.</w:t>
      </w:r>
    </w:p>
    <w:p>
      <w:pPr>
        <w:autoSpaceDN w:val="0"/>
        <w:tabs>
          <w:tab w:pos="2756" w:val="left"/>
          <w:tab w:pos="2998" w:val="left"/>
        </w:tabs>
        <w:autoSpaceDE w:val="0"/>
        <w:widowControl/>
        <w:spacing w:line="254" w:lineRule="auto" w:before="278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“permanent residence visa” means a visa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regulations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