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auto" w:before="158" w:after="0"/>
        <w:ind w:left="0" w:right="324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14, 2019</w:t>
      </w:r>
    </w:p>
    <w:p>
      <w:pPr>
        <w:autoSpaceDN w:val="0"/>
        <w:autoSpaceDE w:val="0"/>
        <w:widowControl/>
        <w:spacing w:line="288" w:lineRule="auto" w:before="156" w:after="0"/>
        <w:ind w:left="0" w:right="36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17.06.2019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30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72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HIGHER EDUCATION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(QUALITY ASSURANCE AND ACCREDITATION)</w:t>
      </w:r>
    </w:p>
    <w:p>
      <w:pPr>
        <w:autoSpaceDN w:val="0"/>
        <w:autoSpaceDE w:val="0"/>
        <w:widowControl/>
        <w:spacing w:line="288" w:lineRule="auto" w:before="82" w:after="0"/>
        <w:ind w:left="0" w:right="437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88" w:lineRule="auto" w:before="94" w:after="0"/>
        <w:ind w:left="0" w:right="417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2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a commission known as the Quality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Assurance and Accreditation Commission for Higher Education in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accordance with the National Policy on Coordination and Determination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of Standards in Institutions for Higher Education or Research and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Scientific and Technical Institutions; to provide for a legal Framework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for Quality Assurance and Accreditation of Higher Educational Institutions </w:t>
      </w:r>
      <w:r>
        <w:rPr>
          <w:rFonts w:ascii="Times,Bold" w:hAnsi="Times,Bold" w:eastAsia="Times,Bold"/>
          <w:b/>
          <w:i w:val="0"/>
          <w:color w:val="221F1F"/>
          <w:sz w:val="20"/>
        </w:rPr>
        <w:t>and for matters connected therewith or incidental thereto</w:t>
      </w:r>
    </w:p>
    <w:p>
      <w:pPr>
        <w:autoSpaceDN w:val="0"/>
        <w:autoSpaceDE w:val="0"/>
        <w:widowControl/>
        <w:spacing w:line="252" w:lineRule="auto" w:before="180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Minister of  City Planning, Water Supply and Higher Education</w:t>
      </w:r>
    </w:p>
    <w:p>
      <w:pPr>
        <w:autoSpaceDN w:val="0"/>
        <w:autoSpaceDE w:val="0"/>
        <w:widowControl/>
        <w:spacing w:line="245" w:lineRule="auto" w:before="118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73.00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38" w:lineRule="auto" w:before="262" w:after="0"/>
        <w:ind w:left="0" w:right="26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29/2011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666"/>
        <w:ind w:left="6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2038" w:right="244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14"/>
        </w:rPr>
        <w:t>KNOWN</w:t>
      </w:r>
      <w:r>
        <w:rPr>
          <w:rFonts w:ascii="Times" w:hAnsi="Times" w:eastAsia="Times"/>
          <w:b w:val="0"/>
          <w:i w:val="0"/>
          <w:color w:val="221F1F"/>
          <w:sz w:val="14"/>
        </w:rPr>
        <w:t>AS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221F1F"/>
          <w:sz w:val="14"/>
        </w:rPr>
        <w:t>UALITY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SSURANCE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CCREDITATION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ACCORDANCE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WITH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OORDINATION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ETERMINATION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TANDARDS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ESEARCH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CIENTIFIC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ECHNICAL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LEGAL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RAMEWORK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221F1F"/>
          <w:sz w:val="14"/>
        </w:rPr>
        <w:t>UALITY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SSURANCE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CCREDITATION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NSTITUTIONS</w:t>
      </w:r>
    </w:p>
    <w:p>
      <w:pPr>
        <w:autoSpaceDN w:val="0"/>
        <w:autoSpaceDE w:val="0"/>
        <w:widowControl/>
        <w:spacing w:line="259" w:lineRule="auto" w:before="78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7" w:lineRule="auto" w:before="244" w:after="21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6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This Act may be cited as the Higher Education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 and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(Quality Assurance and Accreditation) Act, No.        2019.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.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This Act shall come into operation in respect of all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 its provisions, on such date or dates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38" w:lineRule="auto" w:before="274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provisions of subsection (2), shall come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operation on the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which the certificate of the Speaker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endorsed in respect of this Act in terms of Article 79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Constitution.</w:t>
      </w:r>
    </w:p>
    <w:p>
      <w:pPr>
        <w:autoSpaceDN w:val="0"/>
        <w:autoSpaceDE w:val="0"/>
        <w:widowControl/>
        <w:spacing w:line="235" w:lineRule="auto" w:before="244" w:after="0"/>
        <w:ind w:left="0" w:right="4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47" w:lineRule="auto" w:before="244" w:after="168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14"/>
        </w:rPr>
        <w:t>UALITY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SSURANCE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CCREDITATION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contrary to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Quality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contained in any other written law, there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Assurance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a Commission called the Quality Assurance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Commission for Higher Education (hereinafter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 for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“Commission”) as the National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7" w:lineRule="auto" w:before="258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Quality Assurance and Accreditation for Higher </w:t>
      </w:r>
      <w:r>
        <w:rPr>
          <w:rFonts w:ascii="Times" w:hAnsi="Times" w:eastAsia="Times"/>
          <w:b w:val="0"/>
          <w:i w:val="0"/>
          <w:color w:val="221F1F"/>
          <w:sz w:val="20"/>
        </w:rPr>
        <w:t>Education.</w:t>
      </w:r>
    </w:p>
    <w:p>
      <w:pPr>
        <w:autoSpaceDN w:val="0"/>
        <w:autoSpaceDE w:val="0"/>
        <w:widowControl/>
        <w:spacing w:line="235" w:lineRule="auto" w:before="266" w:after="8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Commission shall, by the name assigned to it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(1),be a body corporate with perpetual succession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common seal and may sue and be sued in such name.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Commission shall be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System of Quality Assurance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38" w:lineRule="auto" w:before="8" w:after="1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Accreditation based on the principles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 governance to maintain the high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standard of quality of educational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in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Institutions;</w:t>
      </w:r>
    </w:p>
    <w:p>
      <w:pPr>
        <w:autoSpaceDN w:val="0"/>
        <w:tabs>
          <w:tab w:pos="2794" w:val="left"/>
        </w:tabs>
        <w:autoSpaceDE w:val="0"/>
        <w:widowControl/>
        <w:spacing w:line="247" w:lineRule="auto" w:before="264" w:after="172"/>
        <w:ind w:left="237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act as the apex body for Quality Assurance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Accreditation at National Level;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map the different qualifications in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Sri Lanka Qualifications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(SLQF) to facilitate the cross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consist of –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namely–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3168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Higher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Education or an Additional Secretary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Ministry nominated by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327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Additional Secretary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Ministry nominated by such Secretary;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496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3476" w:val="left"/>
          <w:tab w:pos="3480" w:val="left"/>
        </w:tabs>
        <w:autoSpaceDE w:val="0"/>
        <w:widowControl/>
        <w:spacing w:line="245" w:lineRule="auto" w:before="248" w:after="160"/>
        <w:ind w:left="29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of the University 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 or Vice Chairman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nominated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of the National Education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established under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Education Commission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19 of 1991 or Vice Chairman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4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Commission nominated by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Chairman; and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nine other members appointed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from a panel of fifteen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panel of fifteen persons nominated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(1), shall be from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persons who have academic qualifications,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knowledge, experience and who have shown proven capacity </w:t>
      </w:r>
      <w:r>
        <w:rPr>
          <w:rFonts w:ascii="Times" w:hAnsi="Times" w:eastAsia="Times"/>
          <w:b w:val="0"/>
          <w:i w:val="0"/>
          <w:color w:val="221F1F"/>
          <w:sz w:val="20"/>
        </w:rPr>
        <w:t>in quality assurance, educational, professional, commercial,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management, industrial, scientific, legal or administrative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 or any other relevant field.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4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shall, prior to </w:t>
      </w:r>
      <w:r>
        <w:rPr>
          <w:rFonts w:ascii="Times" w:hAnsi="Times" w:eastAsia="Times"/>
          <w:b w:val="0"/>
          <w:i w:val="0"/>
          <w:color w:val="000000"/>
          <w:sz w:val="20"/>
        </w:rPr>
        <w:t>nominat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ing a person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Commission, satisfy himself that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has no financial or other conflict of interest in the affairs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Commission, as is likely to affect adversely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of his functions as a member of the Commission.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5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subsection (2),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endeavor to ensure that such nominations reflect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pluralistic character of the Sri Lankan society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gender.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President shall appoint a member from among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Chairman having regard to such member’s experience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dealing with matters relating to quality assurance in Higher </w:t>
      </w:r>
      <w:r>
        <w:rPr>
          <w:rFonts w:ascii="Times" w:hAnsi="Times" w:eastAsia="Times"/>
          <w:b w:val="0"/>
          <w:i w:val="0"/>
          <w:color w:val="221F1F"/>
          <w:sz w:val="20"/>
        </w:rPr>
        <w:t>Education.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5" w:lineRule="auto" w:before="248" w:after="18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At least five members including the Chairman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members shall function as fulltime </w:t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shall be disqualified from being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appointed, nominated or continuing as a member of the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being a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if–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or becomes a member of Parliament, a member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28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Provincial Council or a member of any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he is or becomes directly or indirectly, by himself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28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any other person on his behalf, holds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enjoy any right or benefit under any contract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or on behalf of the Commission,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has any financial or other conflict of interest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2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affairs of the Commission;</w:t>
      </w:r>
    </w:p>
    <w:p>
      <w:pPr>
        <w:autoSpaceDN w:val="0"/>
        <w:tabs>
          <w:tab w:pos="2314" w:val="left"/>
        </w:tabs>
        <w:autoSpaceDE w:val="0"/>
        <w:widowControl/>
        <w:spacing w:line="235" w:lineRule="auto" w:before="206" w:after="0"/>
        <w:ind w:left="18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 is engaged–</w:t>
      </w:r>
    </w:p>
    <w:p>
      <w:pPr>
        <w:autoSpaceDN w:val="0"/>
        <w:tabs>
          <w:tab w:pos="2794" w:val="left"/>
          <w:tab w:pos="2796" w:val="left"/>
        </w:tabs>
        <w:autoSpaceDE w:val="0"/>
        <w:widowControl/>
        <w:spacing w:line="245" w:lineRule="auto" w:before="208" w:after="134"/>
        <w:ind w:left="242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employment or assignment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Higher Educational Institution;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employment in an institution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maintenance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 of any higher educational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during the tenure of the membership of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under any law in force in Sri Lanka or in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country, found or declared to be of unsound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a person who, having been declared an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insolvent or bankrupt under any law in force in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9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 or in any other 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496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6" w:after="192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has been convicted of any criminal offence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court in Sri Lanka or in any other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6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is absent from six consecutive committee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meetings without obtaining prior permission of the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commission:</w:t>
            </w:r>
          </w:p>
        </w:tc>
      </w:tr>
    </w:tbl>
    <w:p>
      <w:pPr>
        <w:autoSpaceDN w:val="0"/>
        <w:autoSpaceDE w:val="0"/>
        <w:widowControl/>
        <w:spacing w:line="245" w:lineRule="auto" w:before="166" w:after="192"/>
        <w:ind w:left="251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such leave of absence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 a period of three months at any given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4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is more than seventy two years of age.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 shall in consultation with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 from office any member appointed under section 4-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 from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office.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becomes subject to any of the disqualifications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0" w:right="44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 set out in section 5;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2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becomes permanently incapable of performing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duties owing to any physical disability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unsoundness of mind;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does any act which is likely to bring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into disrepute.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member of the Commission including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shall,unless he vacates office earlier, hold office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of five years from the date of his appointment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unless removed from office under section 6,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eligible for reappointment: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 member shall be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more than two consecutive terms.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0" w:lineRule="exact" w:before="244" w:after="0"/>
        <w:ind w:left="146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Chairman or a member of the Commission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 his office as a Chairman or a member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at any time by writing under his hand addressed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with notice to the Minister. Such resignation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 effect upon it being accepted by the President in writing.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50" w:lineRule="auto" w:before="256" w:after="1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the Chairman or a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4 vacates office by resignation, </w:t>
      </w:r>
      <w:r>
        <w:rPr>
          <w:rFonts w:ascii="Times" w:hAnsi="Times" w:eastAsia="Times"/>
          <w:b w:val="0"/>
          <w:i w:val="0"/>
          <w:color w:val="221F1F"/>
          <w:sz w:val="20"/>
        </w:rPr>
        <w:t>removal or death, the President shall, subject to the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4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of section 4 appoint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remaining members of the panel nominated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159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such office for the unexpired period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Chairman or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4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If the Chairman by reason of illness, infirmity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absence from Sri Lanka or other cause, is temporarily unable</w:t>
            </w:r>
          </w:p>
        </w:tc>
      </w:tr>
    </w:tbl>
    <w:p>
      <w:pPr>
        <w:autoSpaceDN w:val="0"/>
        <w:autoSpaceDE w:val="0"/>
        <w:widowControl/>
        <w:spacing w:line="247" w:lineRule="auto" w:before="4" w:after="206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perform the duties of his office, the President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>a full time member to act as the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6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function on full time basis.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 the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meetings of the Commission shall be held at least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 times a month.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88" w:after="0"/>
        <w:ind w:left="1594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Chairman shall preside at all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In the absence of the Chairman at any meeting,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elect a member from amongst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present, to preside at such meeting.</w:t>
      </w:r>
    </w:p>
    <w:p>
      <w:pPr>
        <w:autoSpaceDN w:val="0"/>
        <w:tabs>
          <w:tab w:pos="1594" w:val="left"/>
          <w:tab w:pos="1834" w:val="left"/>
        </w:tabs>
        <w:autoSpaceDE w:val="0"/>
        <w:widowControl/>
        <w:spacing w:line="244" w:lineRule="exact" w:before="254" w:after="0"/>
        <w:ind w:left="1254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quorum for any meeting of the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five members. At least one member shall be a non-full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member.</w:t>
      </w:r>
    </w:p>
    <w:p>
      <w:pPr>
        <w:autoSpaceDN w:val="0"/>
        <w:tabs>
          <w:tab w:pos="1594" w:val="left"/>
          <w:tab w:pos="1834" w:val="left"/>
        </w:tabs>
        <w:autoSpaceDE w:val="0"/>
        <w:widowControl/>
        <w:spacing w:line="260" w:lineRule="exact" w:before="232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Chairman or in his absence the member presiding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meeting shall have, in addition to his own vote, 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casting vote when there is an equality of votes.</w:t>
      </w:r>
    </w:p>
    <w:p>
      <w:pPr>
        <w:autoSpaceDN w:val="0"/>
        <w:tabs>
          <w:tab w:pos="1834" w:val="left"/>
        </w:tabs>
        <w:autoSpaceDE w:val="0"/>
        <w:widowControl/>
        <w:spacing w:line="247" w:lineRule="auto" w:before="240" w:after="0"/>
        <w:ind w:left="159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votes of the members shall be recorded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minutes book of the Commission.</w:t>
      </w:r>
    </w:p>
    <w:p>
      <w:pPr>
        <w:autoSpaceDN w:val="0"/>
        <w:tabs>
          <w:tab w:pos="1594" w:val="left"/>
          <w:tab w:pos="1834" w:val="left"/>
        </w:tabs>
        <w:autoSpaceDE w:val="0"/>
        <w:widowControl/>
        <w:spacing w:line="264" w:lineRule="exact" w:before="22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Without prejudice to the provisions of subsection (9)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section, if less than five members of the Commission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present in Sri Lanka, a member who is not in Sri Lanka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496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5" w:lineRule="auto" w:before="248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participate in a meeting by electronic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of communication with the prior permission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A member who participates in a meeting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(7), shall be deemed to have been present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Commission may regulate the procedure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its meetings and the transaction of business at such </w:t>
      </w:r>
      <w:r>
        <w:rPr>
          <w:rFonts w:ascii="Times" w:hAnsi="Times" w:eastAsia="Times"/>
          <w:b w:val="0"/>
          <w:i w:val="0"/>
          <w:color w:val="221F1F"/>
          <w:sz w:val="20"/>
        </w:rPr>
        <w:t>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34" w:lineRule="exact" w:before="234" w:after="182"/>
        <w:ind w:left="144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No act, decision or proceedings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invalid by reason only of the existence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vacancy in the membership of the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defect in the appointment of any member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1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formulate, implement and update Sri Lanka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 the</w:t>
            </w:r>
          </w:p>
        </w:tc>
      </w:tr>
      <w:tr>
        <w:trPr>
          <w:trHeight w:hRule="exact" w:val="29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Qualification Framework ;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40" w:after="4"/>
        <w:ind w:left="2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 and maintain liaison and cooperation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any professional or any statutory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6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regulatory body or Quality Assurance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bodies in Higher Education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and outside Sri Lanka on matters relating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Quality Assurance and Accreditation;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6" w:after="0"/>
              <w:ind w:left="0" w:right="3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policies, standards and criteria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update standards, criteria, procedures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processes as appropriate for Quality Assurance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32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Accreditation of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in accordance with the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manuals, tools, devices, or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standards;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trained and experienced quality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auditors to conduct institutional and programme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audits and external quality assurance reviews;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676" w:val="left"/>
        </w:tabs>
        <w:autoSpaceDE w:val="0"/>
        <w:widowControl/>
        <w:spacing w:line="247" w:lineRule="auto" w:before="254" w:after="144"/>
        <w:ind w:left="2270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provisional or full accreditation to Higher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Institutions and to Programmes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review such accreditation from time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revoke provisional accreditation or full</w:t>
            </w:r>
          </w:p>
        </w:tc>
      </w:tr>
    </w:tbl>
    <w:p>
      <w:pPr>
        <w:autoSpaceDN w:val="0"/>
        <w:autoSpaceDE w:val="0"/>
        <w:widowControl/>
        <w:spacing w:line="247" w:lineRule="auto" w:before="8" w:after="162"/>
        <w:ind w:left="267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accreditation granted to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and Programmes conducted thereof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are not keeping up with the required quality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standards determined by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inquire into any complaints relating to</w:t>
            </w:r>
          </w:p>
        </w:tc>
      </w:tr>
    </w:tbl>
    <w:p>
      <w:pPr>
        <w:autoSpaceDN w:val="0"/>
        <w:autoSpaceDE w:val="0"/>
        <w:widowControl/>
        <w:spacing w:line="247" w:lineRule="auto" w:before="2" w:after="168"/>
        <w:ind w:left="267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noncompliance with accreditation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requirements, by a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or a Programme and to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appropriate action;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evaluate foreign degrees, diplomas and other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academic distinctions for the purpose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9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or accreditation of such degrees,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diplomas or academic distinctions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consultation with the relevant professional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statutory or regulatory body or foreign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academic institutions where necessary;</w:t>
      </w:r>
    </w:p>
    <w:p>
      <w:pPr>
        <w:autoSpaceDN w:val="0"/>
        <w:tabs>
          <w:tab w:pos="2674" w:val="left"/>
        </w:tabs>
        <w:autoSpaceDE w:val="0"/>
        <w:widowControl/>
        <w:spacing w:line="245" w:lineRule="auto" w:before="254" w:after="6"/>
        <w:ind w:left="23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evaluate from time to time, where necessary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relevant professional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4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bodies or statutory bodies or regulatory bodies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 minimum admission criteria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student enrollment into academic programmes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67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in compliance with the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Qualifications Framework (SLQF);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4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 whether the degrees and qualifications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awarded by the Higher Educational Institutions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 in compliance with the qualification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7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descriptors and learning outcomes as set out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Sri Lanka Qualifications Framework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(SLQF);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496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878" w:val="left"/>
        </w:tabs>
        <w:autoSpaceDE w:val="0"/>
        <w:widowControl/>
        <w:spacing w:line="245" w:lineRule="auto" w:before="254" w:after="8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on the appropriate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 of qualifications according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Qualifications Framework (SLQF)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1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6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adopted for Higher Educational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programmes and vocational and technical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 programmes offered by Higher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Educational Institutions;</w:t>
      </w:r>
    </w:p>
    <w:p>
      <w:pPr>
        <w:autoSpaceDN w:val="0"/>
        <w:tabs>
          <w:tab w:pos="2876" w:val="left"/>
          <w:tab w:pos="2878" w:val="left"/>
        </w:tabs>
        <w:autoSpaceDE w:val="0"/>
        <w:widowControl/>
        <w:spacing w:line="245" w:lineRule="auto" w:before="254" w:after="2"/>
        <w:ind w:left="2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map Higher Educational qualifications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vocational qualifications including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6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Qualification Framework (SLQF) and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Vocational Qualification Framework (NVQF)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0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facilitate cross mobility of students;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6" w:after="0"/>
              <w:ind w:left="0" w:right="3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Higher Educational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to provide opportunities to persons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their abilities, experiences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capacities including any exemptions on 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limitations, enabling such persons to engage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Higher Education;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3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quality</w:t>
            </w:r>
          </w:p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improvements in Higher Educational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1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Institutions;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54" w:after="6"/>
        <w:ind w:left="2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collect, disseminate information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Higher Education and maintain and update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5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 of accredited Higher Educational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and accredited programmes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the names of such accredited Higher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Institutions and accredited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 in the print and electronic media;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4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officers and employees to the staff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and to appoint experts and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committees to the Commission;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54" w:after="0"/>
        <w:ind w:left="258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levy, fees or charges for any service rendered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796" w:val="left"/>
        </w:tabs>
        <w:autoSpaceDE w:val="0"/>
        <w:widowControl/>
        <w:spacing w:line="250" w:lineRule="auto" w:before="256" w:after="206"/>
        <w:ind w:left="24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such  agreements, contracts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necessary or expedient for the performance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discharge of its duties 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4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circulars from time to time to all Higher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Educational Institutions and to their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58"/>
        <w:ind w:left="27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and academic staff,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necessary in connection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their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 and administer a system prescribed by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for accreditation of Higher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Institutions providing higher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education, and other organizations or bodies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persons who either directly or indirectly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offer or provide any service relating to 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6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connected with providing higher education;</w:t>
      </w:r>
    </w:p>
    <w:p>
      <w:pPr>
        <w:autoSpaceDN w:val="0"/>
        <w:tabs>
          <w:tab w:pos="2794" w:val="left"/>
        </w:tabs>
        <w:autoSpaceDE w:val="0"/>
        <w:widowControl/>
        <w:spacing w:line="250" w:lineRule="auto" w:before="264" w:after="2"/>
        <w:ind w:left="237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publish  codes of practice relating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 content, delivery and technical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standards for Higher Educational services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compliance with such codes;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recognize a professional or statutory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body local or foreign in the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 under section 52;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8" w:after="0"/>
              <w:ind w:left="0" w:right="4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the relevant professional or statutory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regulatory body to determine the minimum</w:t>
            </w:r>
          </w:p>
        </w:tc>
      </w:tr>
    </w:tbl>
    <w:p>
      <w:pPr>
        <w:autoSpaceDN w:val="0"/>
        <w:autoSpaceDE w:val="0"/>
        <w:widowControl/>
        <w:spacing w:line="247" w:lineRule="auto" w:before="2" w:after="204"/>
        <w:ind w:left="2736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relating to the grant of  accreditation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 professional programme or qualifications;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0" w:after="0"/>
              <w:ind w:left="0" w:right="4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 in research, development studies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technical cooperation projects relating to or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with the discharge and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7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of the functions and duties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398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258" w:after="1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by notification published in the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levels of accreditation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certification and inspection marks, logos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6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approved and granted by the Commission,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Higher Educational Institutions and its</w:t>
            </w:r>
          </w:p>
        </w:tc>
      </w:tr>
    </w:tbl>
    <w:p>
      <w:pPr>
        <w:autoSpaceDN w:val="0"/>
        <w:autoSpaceDE w:val="0"/>
        <w:widowControl/>
        <w:spacing w:line="247" w:lineRule="auto" w:before="6" w:after="208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and control the use of such marks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logos;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4" w:after="0"/>
              <w:ind w:left="0" w:right="4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by way of purchase or otherwise,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property and hold,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or give on lease or hire, mortgage, pledge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5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sell or otherwise dispose of in accordance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this Act, any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property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open and maintain bank accounts with any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as determined by the Commission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 any person to operate such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accounts on behalf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3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a member or an affiliate of any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body, the functions or duties of</w:t>
            </w:r>
          </w:p>
        </w:tc>
      </w:tr>
    </w:tbl>
    <w:p>
      <w:pPr>
        <w:autoSpaceDN w:val="0"/>
        <w:autoSpaceDE w:val="0"/>
        <w:widowControl/>
        <w:spacing w:line="250" w:lineRule="auto" w:before="4" w:after="20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similar to the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by or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3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within or outside Sri Lanka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consultancy services or any technical,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managerial or other services in any area</w:t>
            </w:r>
          </w:p>
        </w:tc>
      </w:tr>
    </w:tbl>
    <w:p>
      <w:pPr>
        <w:autoSpaceDN w:val="0"/>
        <w:autoSpaceDE w:val="0"/>
        <w:widowControl/>
        <w:spacing w:line="252" w:lineRule="auto" w:before="4" w:after="21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by itself or in association with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authority, in which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 the skill or expertise;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4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grants or contributions from any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sources whatsoever and to raise funds by all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means and apply such funds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796" w:val="left"/>
        </w:tabs>
        <w:autoSpaceDE w:val="0"/>
        <w:widowControl/>
        <w:spacing w:line="250" w:lineRule="auto" w:before="256" w:after="10"/>
        <w:ind w:left="228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training in Quality Assurance,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Accreditation and Sri Lanka Qualification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 (SLQF); whether by itself or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co-operation of any other person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thinks fit, to the officers and</w:t>
            </w:r>
          </w:p>
        </w:tc>
      </w:tr>
    </w:tbl>
    <w:p>
      <w:pPr>
        <w:autoSpaceDN w:val="0"/>
        <w:autoSpaceDE w:val="0"/>
        <w:widowControl/>
        <w:spacing w:line="250" w:lineRule="auto" w:before="6" w:after="10"/>
        <w:ind w:left="27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employees of the Commission or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involved in providing Higher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 at any Higher 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4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and to award scholarships for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rules in respect of the matters for which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7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are required to be made under the Act;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3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all such other acts which are not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inconsistent with the provisions of this Act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expedient for the accomplishment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objects of the Commission.</w:t>
      </w:r>
    </w:p>
    <w:p>
      <w:pPr>
        <w:autoSpaceDN w:val="0"/>
        <w:autoSpaceDE w:val="0"/>
        <w:widowControl/>
        <w:spacing w:line="235" w:lineRule="auto" w:before="266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66" w:after="172"/>
        <w:ind w:left="19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CCREDITATION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Act, shall be in addition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to, and not in derogation of any other written law relating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accreditation and quality assurance.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law.</w:t>
      </w:r>
    </w:p>
    <w:p>
      <w:pPr>
        <w:autoSpaceDN w:val="0"/>
        <w:autoSpaceDE w:val="0"/>
        <w:widowControl/>
        <w:spacing w:line="235" w:lineRule="auto" w:before="10" w:after="1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provisions of this Act, shall have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in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and accordingly in the event of any inconsistency or</w:t>
            </w:r>
          </w:p>
        </w:tc>
      </w:tr>
    </w:tbl>
    <w:p>
      <w:pPr>
        <w:autoSpaceDN w:val="0"/>
        <w:autoSpaceDE w:val="0"/>
        <w:widowControl/>
        <w:spacing w:line="247" w:lineRule="auto" w:before="4" w:after="206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conflict between the provisions of this Act, and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law, the provisions of this Act,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in any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Every Higher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every Higher Educational Institution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the Commission for accreditation in order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 for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such Higher Educational Institution to carry out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398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50" w:lineRule="auto" w:before="25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as an accredited Higher Educational Institution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form and manner accompanied by such fees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regulations:</w:t>
      </w:r>
    </w:p>
    <w:p>
      <w:pPr>
        <w:autoSpaceDN w:val="0"/>
        <w:autoSpaceDE w:val="0"/>
        <w:widowControl/>
        <w:spacing w:line="238" w:lineRule="auto" w:before="256" w:after="16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universities established or deemed to have</w:t>
            </w:r>
          </w:p>
        </w:tc>
      </w:tr>
    </w:tbl>
    <w:p>
      <w:pPr>
        <w:autoSpaceDN w:val="0"/>
        <w:autoSpaceDE w:val="0"/>
        <w:widowControl/>
        <w:spacing w:line="247" w:lineRule="auto" w:before="2" w:after="184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established under the Universities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No.16 of 1978 and by an Act of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on the day immediately before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coming into operation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Higher Educational Institutions which were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degree awarding status under section 25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Universities Act, No. 16 of 1978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before the date of coming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operation of this Act,</w:t>
      </w:r>
    </w:p>
    <w:p>
      <w:pPr>
        <w:autoSpaceDN w:val="0"/>
        <w:tabs>
          <w:tab w:pos="1796" w:val="left"/>
        </w:tabs>
        <w:autoSpaceDE w:val="0"/>
        <w:widowControl/>
        <w:spacing w:line="236" w:lineRule="exact" w:before="256" w:after="0"/>
        <w:ind w:left="146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been granted full accreditation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for a period of five years from the date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comes into operation.</w:t>
      </w:r>
    </w:p>
    <w:p>
      <w:pPr>
        <w:autoSpaceDN w:val="0"/>
        <w:autoSpaceDE w:val="0"/>
        <w:widowControl/>
        <w:spacing w:line="238" w:lineRule="auto" w:before="252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It shall be the duty of the Chief Executive Officer,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Principal Executive Officer or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Administrative Officer as the case may be, of a Higher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9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Institution to apply to the Commission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accreditation.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New Higher Educational Institution prior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 initial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establishment shall apply to the Commission for an initial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clearance to 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 Higher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clearance to commence physical infrastructure in such form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manner together with such documents and fees as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prescribed by regulations before commencing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Upon receipt of the  application under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upon being satisfied that the Higher Educational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has fulfilled the requirements prescribed by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relating to the grant of a certificate of initial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5" w:lineRule="auto" w:before="254" w:after="8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clearance, and where the Commission is of the opinion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establishment of such institution is in the public interest </w:t>
      </w:r>
      <w:r>
        <w:rPr>
          <w:rFonts w:ascii="Times" w:hAnsi="Times" w:eastAsia="Times"/>
          <w:b w:val="0"/>
          <w:i w:val="0"/>
          <w:color w:val="221F1F"/>
          <w:sz w:val="20"/>
        </w:rPr>
        <w:t>and for the public benefit, the Commission may, within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six months from the date of such  application, grant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certificate of initial clearance for a period of five years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subject to such terms and conditions:</w:t>
      </w:r>
    </w:p>
    <w:p>
      <w:pPr>
        <w:autoSpaceDN w:val="0"/>
        <w:autoSpaceDE w:val="0"/>
        <w:widowControl/>
        <w:spacing w:line="245" w:lineRule="auto" w:before="212" w:after="6"/>
        <w:ind w:left="1596" w:right="2592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such institution intends to offer </w:t>
      </w:r>
      <w:r>
        <w:rPr>
          <w:rFonts w:ascii="Times" w:hAnsi="Times" w:eastAsia="Times"/>
          <w:b w:val="0"/>
          <w:i w:val="0"/>
          <w:color w:val="221F1F"/>
          <w:sz w:val="20"/>
        </w:rPr>
        <w:t>professional programme, the Commission shall, prior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grant of the certificate of initial clearance consult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or statutory or regulatory body.</w:t>
            </w:r>
          </w:p>
        </w:tc>
      </w:tr>
    </w:tbl>
    <w:p>
      <w:pPr>
        <w:autoSpaceDN w:val="0"/>
        <w:autoSpaceDE w:val="0"/>
        <w:widowControl/>
        <w:spacing w:line="247" w:lineRule="auto" w:before="186" w:after="6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relevant professional or statutory or regulatory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is consulted by the Commission, notwithstanding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any other written law, it shall be the duty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body to co-operate in respect of matters relating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of initial clearance.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Commission may–</w:t>
      </w:r>
    </w:p>
    <w:p>
      <w:pPr>
        <w:autoSpaceDN w:val="0"/>
        <w:tabs>
          <w:tab w:pos="2674" w:val="left"/>
        </w:tabs>
        <w:autoSpaceDE w:val="0"/>
        <w:widowControl/>
        <w:spacing w:line="245" w:lineRule="auto" w:before="212" w:after="6"/>
        <w:ind w:left="225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 to grant the certificate of initial clearance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where the Higher Educational Institution fails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3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fulfill the criteria for the grant of initial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clearance prescribed by regulations;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revoke the certificate of initial clearance where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24"/>
        <w:ind w:left="267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is no progress in the establishment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Educational Institution within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five years;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revoke the certificate of initial clearance where</w:t>
            </w:r>
          </w:p>
        </w:tc>
      </w:tr>
    </w:tbl>
    <w:p>
      <w:pPr>
        <w:autoSpaceDN w:val="0"/>
        <w:autoSpaceDE w:val="0"/>
        <w:widowControl/>
        <w:spacing w:line="247" w:lineRule="auto" w:before="2" w:after="152"/>
        <w:ind w:left="267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Higher Educational Institution fails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 operations within a period of five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" w:right="13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Commission may, in the case of a refusal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revocation of the certificate of initial clearance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(4), require the Higher Educational Institution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such steps to rectify such failure within a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three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398" w:val="left"/>
        </w:tabs>
        <w:autoSpaceDE w:val="0"/>
        <w:widowControl/>
        <w:spacing w:line="248" w:lineRule="exact" w:before="0" w:after="186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8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new Higher Educational Institution shall apply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accreditation of such institution under section 11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new Higher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period of five years from the receipt of the certificate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or an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initial clearance prior to the enrollment of students.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existing Higher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Higher Educational Institution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referred to in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proviso to section 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shall,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after the lapse of a period of five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from the date on which this Act comes into operation, </w:t>
      </w:r>
      <w:r>
        <w:rPr>
          <w:rFonts w:ascii="Times" w:hAnsi="Times" w:eastAsia="Times"/>
          <w:b w:val="0"/>
          <w:i w:val="0"/>
          <w:color w:val="221F1F"/>
          <w:sz w:val="20"/>
        </w:rPr>
        <w:t>apply for accreditation of such institution under section 11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Where a 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igher Educational 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existing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immediately preceding the date of coming into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 other than the Higher Educational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referred to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proviso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section 11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institution is in existence for more than five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such institution shall apply for accreditation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a period of two years; or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institution is in existence for less than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years shall apply for accreditation before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 completes seven years of existence,</w:t>
      </w:r>
    </w:p>
    <w:p>
      <w:pPr>
        <w:autoSpaceDN w:val="0"/>
        <w:autoSpaceDE w:val="0"/>
        <w:widowControl/>
        <w:spacing w:line="238" w:lineRule="auto" w:before="20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 section 11.</w:t>
      </w:r>
    </w:p>
    <w:p>
      <w:pPr>
        <w:autoSpaceDN w:val="0"/>
        <w:tabs>
          <w:tab w:pos="2036" w:val="left"/>
        </w:tabs>
        <w:autoSpaceDE w:val="0"/>
        <w:widowControl/>
        <w:spacing w:line="266" w:lineRule="exact" w:before="172" w:after="0"/>
        <w:ind w:left="14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The Commission may–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196" w:after="118"/>
        <w:ind w:left="246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a certificate of  provisional accreditation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full accreditation to such institution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conditions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 such Higher Educational Institution 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such steps to rectify  the problems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in the report of the Panel of Quality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Auditors referred to in section 31 within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0" w:right="4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period, as may be determined by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for the purpose of granting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accreditation; or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 to grant a certificate of  provisional or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full accreditation for reasons assigned.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1836" w:val="left"/>
        </w:tabs>
        <w:autoSpaceDE w:val="0"/>
        <w:widowControl/>
        <w:spacing w:line="245" w:lineRule="auto" w:before="246" w:after="142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Commission shall, for the purposes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(4) consider–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2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Panel of Quality Auditors together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Higher Educational institution’s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prescribed Accreditation 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Quality Assurance criteria relating to the granting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106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certificate of   provisional or full accreditation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Institutional Audit of such Higher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Educational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recommendation of the relevant foreign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in the case of any Higher Educational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 established under any written law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16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affiliated to a foreign Higher Educational Institution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relation to the institutional Audit of such Higher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Educational Institution.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new Higher Educational Institution shall apply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accreditation for each of its programmes, under section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programmes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a new or an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 within a period of five years from the receipt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existing Higher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of initial clearance.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Higher Educational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4"/>
        <w:ind w:left="1596" w:right="2624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proviso to section 11,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the lapse of a period of five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from the date on which this Act comes into operation, </w:t>
      </w:r>
      <w:r>
        <w:rPr>
          <w:rFonts w:ascii="Times" w:hAnsi="Times" w:eastAsia="Times"/>
          <w:b w:val="0"/>
          <w:i w:val="0"/>
          <w:color w:val="221F1F"/>
          <w:sz w:val="20"/>
        </w:rPr>
        <w:t>apply for accreditation of its programmes under section 11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Where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Higher Educational Institution existing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immediately preceding the date of coming into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2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 other than the Higher Educational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Institutions referred to in the proviso to section 11–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institution is in existence for more than five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such institution shall apply for accreditation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programmes within a period of two years ;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institution is in existence for less than five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shall apply for accreditation of its programmes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0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before it completes seven years of existence,</w:t>
      </w:r>
    </w:p>
    <w:p>
      <w:pPr>
        <w:autoSpaceDN w:val="0"/>
        <w:autoSpaceDE w:val="0"/>
        <w:widowControl/>
        <w:spacing w:line="238" w:lineRule="auto" w:before="202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11.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398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may,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(5)–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a certificate of  provisional or full accreditation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such programme subject to such conditions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Commission;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a certificate of  provisional or full accreditation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programme if the problems identified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report of the Panel of Quality Auditors are rectified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such period, as may be determined by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a certificate of provisional or full accreditation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professional programmes or qualification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if the deficiencies indentified in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4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recommendations of the relevant professional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statutory or regulatory body made under section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15(4) are rectified within such period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said recommendations or with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extended time period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 to grant a certificate of  provisional full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for reasons assigned.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80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 of subsection (4),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consider–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8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report of the Panel of Quality Auditors relating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that programme, and the recommendation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professional or statutory or regulatory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under section 15 in the case of professional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0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programmes;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8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recommendations of the relevant foreign Authority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foreign programmes granted by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Higher Educational Institution established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written law and affiliated to a foreign Higher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Educational Institutions.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20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the provisions of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 or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a Higher Educational Institution shall apply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under section 14 for the grant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programmes.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of professional programmes local or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such Higher Educational Institution intends to offer.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10" w:after="1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the receipt of an application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Commission shall, within a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fourteen days from the date of receipt of  such application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Higher Educational Institution, make  a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to  the relevant professional or statutory or regulatory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to make recommendations within such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specified in such request for the purpose of making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recommendations.</w:t>
      </w:r>
    </w:p>
    <w:p>
      <w:pPr>
        <w:autoSpaceDN w:val="0"/>
        <w:autoSpaceDE w:val="0"/>
        <w:widowControl/>
        <w:spacing w:line="238" w:lineRule="auto" w:before="276" w:after="1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Where the relevant professional or statutory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regulatory body receives a request from the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 professional or statutory or regulatory body shall  make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 to the Commission whether such </w:t>
      </w:r>
      <w:r>
        <w:rPr>
          <w:rFonts w:ascii="Times" w:hAnsi="Times" w:eastAsia="Times"/>
          <w:b w:val="0"/>
          <w:i w:val="0"/>
          <w:color w:val="221F1F"/>
          <w:sz w:val="20"/>
        </w:rPr>
        <w:t>professional programme is in compliance  with the minimum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standards specified for  such professional programme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period as may be specified by the Commission along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certificates if any, issued by such professional or </w:t>
      </w:r>
      <w:r>
        <w:rPr>
          <w:rFonts w:ascii="Times" w:hAnsi="Times" w:eastAsia="Times"/>
          <w:b w:val="0"/>
          <w:i w:val="0"/>
          <w:color w:val="221F1F"/>
          <w:sz w:val="20"/>
        </w:rPr>
        <w:t>statutory or regulatory body.</w:t>
      </w:r>
    </w:p>
    <w:p>
      <w:pPr>
        <w:autoSpaceDN w:val="0"/>
        <w:autoSpaceDE w:val="0"/>
        <w:widowControl/>
        <w:spacing w:line="238" w:lineRule="auto" w:before="276" w:after="1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Where a relevant professional or statutory or regulatory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5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makes recommendations to refuse the grant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to a Higher Educational Institution, such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6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shall include any measures to rectify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deficiency within the period specified in such request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in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Commission shall forward the 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under subsection (4) to the Higher Educational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referred to in subsection (1) for taking of remedial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for rectification and report back to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within a period to be specified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398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5" w:lineRule="auto" w:before="246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the Higher Educational Institution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(5) requires an extension to the period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2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rectification, such request may be made in writing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and the Commission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professional or statutory or regulatory body may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grant an extension of time in respect of such request.</w:t>
      </w:r>
    </w:p>
    <w:p>
      <w:pPr>
        <w:autoSpaceDN w:val="0"/>
        <w:autoSpaceDE w:val="0"/>
        <w:widowControl/>
        <w:spacing w:line="245" w:lineRule="auto" w:before="184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 relevant professional or statutory or regulatory </w:t>
      </w:r>
      <w:r>
        <w:rPr>
          <w:rFonts w:ascii="Times" w:hAnsi="Times" w:eastAsia="Times"/>
          <w:b w:val="0"/>
          <w:i w:val="0"/>
          <w:color w:val="221F1F"/>
          <w:sz w:val="20"/>
        </w:rPr>
        <w:t>body directly receives a request from a Higher 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Institution, such professional or statutory or regulatory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inform the Commission forthwith from the date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receipt of  such request, for the purposes of this Act.</w:t>
      </w:r>
    </w:p>
    <w:p>
      <w:pPr>
        <w:autoSpaceDN w:val="0"/>
        <w:autoSpaceDE w:val="0"/>
        <w:widowControl/>
        <w:spacing w:line="245" w:lineRule="auto" w:before="184" w:after="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Notwithstanding the provisions of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where the Commission requests a relevant professional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8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statutory or regulatory body to make recommendations, 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the duty of such body to cooperate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respect of matters relating to the grant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accreditation.</w:t>
      </w:r>
    </w:p>
    <w:p>
      <w:pPr>
        <w:autoSpaceDN w:val="0"/>
        <w:autoSpaceDE w:val="0"/>
        <w:widowControl/>
        <w:spacing w:line="235" w:lineRule="auto" w:before="184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The Commission shall, for the purpose of granting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to a professional programme under this Act,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 of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into consideration the recommendations made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professional or statutory or regulatory body.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certificate of provisional accreditation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Institution or Programme shall be in force for a period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accreditation.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years from the date of the  issue of such certificate.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certificate of provisional accreditation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such details relating to provisional accreditation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such institution or programme as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holder of the certificate of  provisional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shall be required to–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periodic reports to the Commission of its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from time to time as may be required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for the purpose of determining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4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full accreditation shall be granted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Programme;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314" w:val="left"/>
          <w:tab w:pos="2316" w:val="left"/>
        </w:tabs>
        <w:autoSpaceDE w:val="0"/>
        <w:widowControl/>
        <w:spacing w:line="245" w:lineRule="auto" w:before="246" w:after="17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display the certificate in a conspicuous place on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 for public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Higher Educational Institution holding 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Conversion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of provisional accreditation shall apply to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for the full accreditation of the institution or of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programme as the case may be in such form and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full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within such period as may be prescribed by regulations.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accreditation.</w:t>
            </w:r>
          </w:p>
        </w:tc>
      </w:tr>
    </w:tbl>
    <w:p>
      <w:pPr>
        <w:autoSpaceDN w:val="0"/>
        <w:tabs>
          <w:tab w:pos="1834" w:val="left"/>
        </w:tabs>
        <w:autoSpaceDE w:val="0"/>
        <w:widowControl/>
        <w:spacing w:line="245" w:lineRule="auto" w:before="78" w:after="80"/>
        <w:ind w:left="159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may, upon the report of the Panel of </w:t>
      </w:r>
      <w:r>
        <w:rPr>
          <w:rFonts w:ascii="Times" w:hAnsi="Times" w:eastAsia="Times"/>
          <w:b w:val="0"/>
          <w:i w:val="0"/>
          <w:color w:val="221F1F"/>
          <w:sz w:val="20"/>
        </w:rPr>
        <w:t>QualityAuditors–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full accreditation to such institution or to such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both upon such conditions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extend the period of provisional accreditation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 to a maximum period of ten years to rectify any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problems identified in the report of the Panel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24"/>
        <w:ind w:left="0" w:right="50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Quality Auditors;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 the application for reasons assigned.</w:t>
            </w:r>
          </w:p>
        </w:tc>
      </w:tr>
      <w:tr>
        <w:trPr>
          <w:trHeight w:hRule="exact" w:val="10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74" w:right="13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such institution intends to offer a professional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programme, the Commission shall, make  a written request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referred to in section 15 to  the relevant professional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statutory or regulatory body  to make recommendations for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purpose of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Where a Higher Educational Institution or a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 of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is granted full accreditation, such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programme shall undergo institutional audit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review within every five years.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Higher Educational Institution fails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full accreditation within a period of ten years from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accreditation.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the certificate of provisional accreditation,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cancel the certificate of provisional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accreditation and direct such institution–</w:t>
      </w:r>
    </w:p>
    <w:p>
      <w:pPr>
        <w:autoSpaceDN w:val="0"/>
        <w:tabs>
          <w:tab w:pos="2314" w:val="left"/>
        </w:tabs>
        <w:autoSpaceDE w:val="0"/>
        <w:widowControl/>
        <w:spacing w:line="245" w:lineRule="auto" w:before="190" w:after="0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Higher Education Institution,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cease its activities;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78" w:val="left"/>
          <w:tab w:pos="6398" w:val="left"/>
        </w:tabs>
        <w:autoSpaceDE w:val="0"/>
        <w:widowControl/>
        <w:spacing w:line="248" w:lineRule="exact" w:before="0" w:after="0"/>
        <w:ind w:left="26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60" w:after="204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programme either to cease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such  programme or to cease granting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programme.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6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4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47" w:lineRule="auto" w:before="60" w:after="0"/>
              <w:ind w:left="9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Commission shall, before cancelling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provisional accreditation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–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inform the  Chief Executive Officer, the Principal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or the Principal Administrative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as the case may be, of a Higher 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by written communication of its intention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cancel the certificate of provisional accreditation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specifying the grounds for such cancellation;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10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afford an opportunity to the persons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make written representations within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4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thirty days from the date of such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communication to a committee appointed under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(3).</w:t>
      </w:r>
    </w:p>
    <w:p>
      <w:pPr>
        <w:autoSpaceDN w:val="0"/>
        <w:autoSpaceDE w:val="0"/>
        <w:widowControl/>
        <w:spacing w:line="247" w:lineRule="auto" w:before="264" w:after="1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shall appoint a committee comprising </w:t>
      </w:r>
      <w:r>
        <w:rPr>
          <w:rFonts w:ascii="Times" w:hAnsi="Times" w:eastAsia="Times"/>
          <w:b w:val="0"/>
          <w:i w:val="0"/>
          <w:color w:val="000000"/>
          <w:sz w:val="20"/>
        </w:rPr>
        <w:t>such members who are not members of the panel of quality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auditors to consider the representations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(2).</w:t>
            </w:r>
          </w:p>
        </w:tc>
      </w:tr>
    </w:tbl>
    <w:p>
      <w:pPr>
        <w:autoSpaceDN w:val="0"/>
        <w:autoSpaceDE w:val="0"/>
        <w:widowControl/>
        <w:spacing w:line="250" w:lineRule="auto" w:before="196" w:after="20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committee shall, after considering the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representations under subsection (2) make recommendations </w:t>
      </w:r>
      <w:r>
        <w:rPr>
          <w:rFonts w:ascii="Times" w:hAnsi="Times" w:eastAsia="Times"/>
          <w:b w:val="0"/>
          <w:i w:val="0"/>
          <w:color w:val="000000"/>
          <w:sz w:val="20"/>
        </w:rPr>
        <w:t>to the Commission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0" w:right="2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cancel the certificate of provisional accreditation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(1);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direct such institution or persons to take such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remedial measures to obtain full accreditation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such period as may be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7" w:lineRule="auto" w:before="60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Commission shall give effect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made by the Committee.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40" w:val="left"/>
          <w:tab w:pos="3276" w:val="left"/>
        </w:tabs>
        <w:autoSpaceDE w:val="0"/>
        <w:widowControl/>
        <w:spacing w:line="228" w:lineRule="exact" w:before="38" w:after="0"/>
        <w:ind w:left="159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5" w:lineRule="auto" w:before="246" w:after="100"/>
        <w:ind w:left="1596" w:right="26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 a Higher Educational Institution fails to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accreditation within the period specified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(4), the Commission shall take such steps </w:t>
      </w:r>
      <w:r>
        <w:rPr>
          <w:rFonts w:ascii="Times" w:hAnsi="Times" w:eastAsia="Times"/>
          <w:b w:val="0"/>
          <w:i w:val="0"/>
          <w:color w:val="221F1F"/>
          <w:sz w:val="20"/>
        </w:rPr>
        <w:t>to cancel the provisional accreditation of such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Where a Higher Educational Institution ceases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under subsection (1), the Commission shall direct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institution to take such measures as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may deem necessary to provide adequate opportunities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students to ensure the continuity of their studies or to appoint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competent authority to safe guard the interests of the students.</w:t>
            </w:r>
          </w:p>
        </w:tc>
      </w:tr>
    </w:tbl>
    <w:p>
      <w:pPr>
        <w:autoSpaceDN w:val="0"/>
        <w:autoSpaceDE w:val="0"/>
        <w:widowControl/>
        <w:spacing w:line="245" w:lineRule="auto" w:before="122" w:after="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a Higher Educational Institution has ceased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under subsection (1), the Commission shall publish </w:t>
      </w:r>
      <w:r>
        <w:rPr>
          <w:rFonts w:ascii="Times" w:hAnsi="Times" w:eastAsia="Times"/>
          <w:b w:val="0"/>
          <w:i w:val="0"/>
          <w:color w:val="000000"/>
          <w:sz w:val="20"/>
        </w:rPr>
        <w:t>a notice of such cancellation on its website and at least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each of Sinhala, Tamil and English daily newspapers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Recognition of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circulating in 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shall, for the purposes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relevant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manner prescribed, recognize a professional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 or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statutory or regulatory body established for the purpose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statutory or</w:t>
            </w:r>
          </w:p>
        </w:tc>
      </w:tr>
      <w:tr>
        <w:trPr>
          <w:trHeight w:hRule="exact" w:val="19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regulating a profession or an occupation.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regulatory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body.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cause to publish the names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Effect of the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institutions in respect of which the certificates of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 of</w:t>
            </w:r>
          </w:p>
        </w:tc>
      </w:tr>
      <w:tr>
        <w:trPr>
          <w:trHeight w:hRule="exact" w:val="5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provisional or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provisional or full accreditation have been granted on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full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website or 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least in one each of Sinhala, Tamil and English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accreditation.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daily newspapers circulating in 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Certificate of accreditation shall be evidence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fact that the institution or programme shall be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a programme provisionally or fully accredited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142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cause to establish and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 a register, in such form as may be prescribed for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entering the details of accredited Higher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Educational Institutions.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Institutions.</w:t>
            </w:r>
          </w:p>
        </w:tc>
      </w:tr>
    </w:tbl>
    <w:p>
      <w:pPr>
        <w:autoSpaceDN w:val="0"/>
        <w:autoSpaceDE w:val="0"/>
        <w:widowControl/>
        <w:spacing w:line="238" w:lineRule="auto" w:before="82" w:after="0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register referred to in subsection (1),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for public inspection at such times upon payment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fees as may be prescribed.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22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accredited  Higher Educational Institution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approval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change of</w:t>
            </w:r>
          </w:p>
        </w:tc>
      </w:tr>
      <w:tr>
        <w:trPr>
          <w:trHeight w:hRule="exact" w:val="33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intends to–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structure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change its institutional structure by amalgamating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Higher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another institution;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92"/>
        <w:ind w:left="0" w:right="20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change its programmes; or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 change in any other area of operation,</w:t>
            </w:r>
          </w:p>
        </w:tc>
      </w:tr>
    </w:tbl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subject to section 15,  it shall obtain the written approval of</w:t>
      </w:r>
    </w:p>
    <w:p>
      <w:pPr>
        <w:autoSpaceDN w:val="0"/>
        <w:autoSpaceDE w:val="0"/>
        <w:widowControl/>
        <w:spacing w:line="238" w:lineRule="auto" w:before="56" w:after="5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 prior to such proposed change.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may, suspend or revoke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Suspension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of full accreditation where a Higher Educational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revocation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full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wound up or otherwise dissolved;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accreditation.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violates any term or condition of the certificate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26"/>
        <w:ind w:left="0" w:right="2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full accreditation or any regulation made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 or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an order made under section 49 (2); or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false information to the Commission</w:t>
            </w:r>
          </w:p>
        </w:tc>
      </w:tr>
    </w:tbl>
    <w:p>
      <w:pPr>
        <w:autoSpaceDN w:val="0"/>
        <w:autoSpaceDE w:val="0"/>
        <w:widowControl/>
        <w:spacing w:line="238" w:lineRule="auto" w:before="28" w:after="276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obtaining accreditation;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ceased to exist.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shall, before such suspension or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revocation-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2"/>
        <w:ind w:left="20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 Chief Executive Officer, the Principal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or the Principal Administrative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as the case may be, of a Higher 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by notice of its intention to suspend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revoke the certificate of full accreditation specifying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grounds for such suspension or revocation;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4"/>
        <w:ind w:left="20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 an opportunity to the persons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written representations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thirty days from the date of such written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to the Commission.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Higher Educational Institution makes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within the specified period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(2), the Commission  may, after considering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reasons provided and hearing the Higher Educational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may either –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 the notice of suspension or revocation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full accreditation;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suspend or revoke  the full accreditation.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suspension or revocation of full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accreditation, the Higher Educational Institution concerned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notified forthwith of such suspension or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revocation and  such suspension or such revocation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take effect from the date of such notification.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45" w:lineRule="auto" w:before="240" w:after="18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certificate of full accreditation is suspended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revoked, the Commission  shall publish a notice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suspension or revocation on  its website or  at least in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of Sinhala, Tamil and English daily newspapers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circulating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certificate of full accreditation is suspended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revoked, the Commission shall require such institution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take such measures to provide adequate opportunities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students to continue their studies or to appoint a competent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to safeguard the interests of the students.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21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any Higher Educational Institution without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Pretending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accredited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Higher</w:t>
            </w:r>
          </w:p>
        </w:tc>
      </w:tr>
      <w:tr>
        <w:trPr>
          <w:trHeight w:hRule="exact" w:val="54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obtaining accreditation in accordance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or any regulation made thereunder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1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advertises in any manner misleading the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 Act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as to the fact that such institution or its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</w:t>
            </w:r>
          </w:p>
        </w:tc>
      </w:tr>
      <w:tr>
        <w:trPr>
          <w:trHeight w:hRule="exact" w:val="40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programmes are accredited by the Commission;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offence.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offers or conducts any course of study, programme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qualification and admits students to courses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study, programmes or qualifications pretending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an accredited institution; or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confers any degree or award any diploma, certificate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other  academic distinction; or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04" w:after="0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uses the logo of the Commission in an improper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30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Higher Educational Institution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71" w:lineRule="auto" w:before="30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institution other than a Higher Educational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accredited under this Act shall, confer any degree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award any diploma, certificate or other academic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distinction to any person.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74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 offence under subsection (1) or (2),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by a Higher Educational Institution the Chief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Officer, the Principal Executive Officer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Administrative Officer as the case may be,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on conviction after trial by a Magistrate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three months or to both such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186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appoint such number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quality audit panels and standing committees consisting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quality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panels,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possessing specialized qualifications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in quality assurance, for the purpose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committees,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 the Commission in carrying out institutional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audits and external quality assurance reviews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based on the criteria prescribed by regulations.</w:t>
      </w:r>
    </w:p>
    <w:p>
      <w:pPr>
        <w:autoSpaceDN w:val="0"/>
        <w:tabs>
          <w:tab w:pos="1942" w:val="left"/>
          <w:tab w:pos="2424" w:val="left"/>
        </w:tabs>
        <w:autoSpaceDE w:val="0"/>
        <w:widowControl/>
        <w:spacing w:line="247" w:lineRule="auto" w:before="200" w:after="14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every standing committee the Chairman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shall be a full time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quality audit panels appointed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 (1) may be paid out of the Fund of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3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such allowance as the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with the concurrence of the Minister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 is assigned.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from time to time appoint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experts or such number of committees as it considers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Experts or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appropriate, for any purpose which in the opinion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could be more expeditiously carried out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managed by means of the appointment of any such expert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shall define and specify the terms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reference of each such person or committee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and where necessary may dismiss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or dissolve any committee so appointed.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each committee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6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subsection (1) of this section may regulate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procedure in regard to its meetings and the transaction of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any committee appointed under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may be paid out of the Fund of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such allowance as the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with the concurrence of the Minister to whom  the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of  Finance is assigned.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19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establish such number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divisions including two functional divisions namely-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divisions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Qualifications Framework Division;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Quality Assurance and Accreditation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division shall consist of such number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persons appointed by the Commission.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59" w:lineRule="auto" w:before="276" w:after="21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may from time to time request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writing, the divisions referred to in subsection (1), to give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advice on any matter specified in the request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time as shall be stated therein, and it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of such division, to give its advice on such matter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the time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Sri Lanka Qualifications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Framework Division shall be to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Sri Lanka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Qualifications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7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update the Sri Lanka Qualifications Framework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Framework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necessary recommendations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in regard to its implementation;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evaluate and recommend to the Commission,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degrees, diplomas and other academic</w:t>
            </w:r>
          </w:p>
        </w:tc>
      </w:tr>
    </w:tbl>
    <w:p>
      <w:pPr>
        <w:autoSpaceDN w:val="0"/>
        <w:autoSpaceDE w:val="0"/>
        <w:widowControl/>
        <w:spacing w:line="254" w:lineRule="auto" w:before="8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distinctions and the relevant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Framework (SLQF) levels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recognition;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Commission the formulation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with respect to –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levels and nomenclature of qualifications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and of the awards granted by Higher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Educational Institutions;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62" w:after="222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descriptors and level descriptors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per the Sri Lanka Qualifications Framework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(SLQF).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such recommendations to the Commission to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mobility and progression within the</w:t>
            </w:r>
          </w:p>
        </w:tc>
      </w:tr>
    </w:tbl>
    <w:p>
      <w:pPr>
        <w:autoSpaceDN w:val="0"/>
        <w:autoSpaceDE w:val="0"/>
        <w:widowControl/>
        <w:spacing w:line="254" w:lineRule="auto" w:before="8" w:after="22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Educational Sector and Tertiary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Vocational Education Sector and recommend career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pathways;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Commission based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comparison of qualifications offered by different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Higher Educational Institutions;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in consultation with relevant professional</w:t>
            </w:r>
          </w:p>
        </w:tc>
      </w:tr>
    </w:tbl>
    <w:p>
      <w:pPr>
        <w:autoSpaceDN w:val="0"/>
        <w:autoSpaceDE w:val="0"/>
        <w:widowControl/>
        <w:spacing w:line="252" w:lineRule="auto" w:before="14" w:after="1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statutory  or regulatory body where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minimum academic standards to be maintained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Higher Educational Institutions,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standards relating to teachers and other academic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members employed by such institutions,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and courses of study offered,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examinations, equipment and other facilities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available to students at such institutions;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the nature of training provided in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and courses of study conducted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Educational Institutions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granting degrees, diplomas and other academic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distinctions;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the format and language of transcripts of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awards granted by the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 every relevant information with Quality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Assurance and Accreditation Division to facilitate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function of that division.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214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Quality Assurance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Quality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Assurance</w:t>
            </w:r>
          </w:p>
        </w:tc>
      </w:tr>
      <w:tr>
        <w:trPr>
          <w:trHeight w:hRule="exact" w:val="33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division shall be to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2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Commission on the formulation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division.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rules with respect to the minimum academic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standards in consultation with the professional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81" w:lineRule="auto" w:before="24" w:after="26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statutory or regulatory body where necessary,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Higher Educational Institutions,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standards relating to the programmes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courses of study offered, quality of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and examinations conducted by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Institutions for the purpose of awarding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degrees, diplomas and other academic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distinctions;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 and recommend to the Commission, criteria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standards relating to the quality of staff,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6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equipment, teaching resources and other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be provided by any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evaluate from time to time through an external peer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process the quality and grade of all Higher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Institutions and report on the same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p>
      <w:pPr>
        <w:autoSpaceDN w:val="0"/>
        <w:tabs>
          <w:tab w:pos="2102" w:val="left"/>
          <w:tab w:pos="2516" w:val="left"/>
        </w:tabs>
        <w:autoSpaceDE w:val="0"/>
        <w:widowControl/>
        <w:spacing w:line="276" w:lineRule="auto" w:before="32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to the Commission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criteria and standards required to be taken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Educational Institution that has not reached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required standard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accreditation;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2" w:after="0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 every relevant information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Qualification Framework division.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218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Head of the Quality Assurance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Panel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division shall with the prior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Quality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–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Auditors.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 persons possessing  prescribed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as Auditors from panel of Quality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30" w:after="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Auditors for the purpose of carrying out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external quality audits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audits of the Sri Lanka Qualifications Framework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(SLQF), after such training as the Commission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 appropriate, under this Act; and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 the procedures necessary for the</w:t>
            </w:r>
          </w:p>
        </w:tc>
      </w:tr>
    </w:tbl>
    <w:p>
      <w:pPr>
        <w:autoSpaceDN w:val="0"/>
        <w:autoSpaceDE w:val="0"/>
        <w:widowControl/>
        <w:spacing w:line="271" w:lineRule="auto" w:before="3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of any particular assignment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Quality Auditors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90" w:lineRule="auto" w:before="3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the purpose of carrying out the function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external quality audits relating to programmes, one third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Quality Auditors required to carry out such audit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nominated by the relevant professional or statutory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regulatory body.</w:t>
      </w:r>
    </w:p>
    <w:p>
      <w:pPr>
        <w:autoSpaceDN w:val="0"/>
        <w:tabs>
          <w:tab w:pos="1702" w:val="left"/>
          <w:tab w:pos="2008" w:val="left"/>
          <w:tab w:pos="2424" w:val="left"/>
        </w:tabs>
        <w:autoSpaceDE w:val="0"/>
        <w:widowControl/>
        <w:spacing w:line="281" w:lineRule="auto" w:before="3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person appointed as an auditor shall be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letter of appointment by the Head of the Quality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Assurance division.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90" w:lineRule="auto" w:before="3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 has been appointed as a Quality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 under this section may be paid out of the Fund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and such remuneration or allowances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assignments carried out by him or her, 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rates as may be determined by the Quality Assurance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Division with the concurrence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206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panel of Quality Auditors authorized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by the Commission, after giving not less than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Quality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Auditors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weeks notice in writing, shall enter a Higher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authorized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and makes such examination, investigation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inquiry for the purpose of conducting an audit to ascertain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enter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programmes and courses of study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by such Higher Educational Institution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Institutions.</w:t>
            </w:r>
          </w:p>
        </w:tc>
      </w:tr>
    </w:tbl>
    <w:p>
      <w:pPr>
        <w:autoSpaceDN w:val="0"/>
        <w:autoSpaceDE w:val="0"/>
        <w:widowControl/>
        <w:spacing w:line="252" w:lineRule="auto" w:before="14" w:after="1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leading to  the grant or conferment of a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qualification conform to the prescribed minimum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standards;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degree of proficiency required at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examinations held by a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for the purpose of granting or conferring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qualifications are of the required standard;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institution, staff, equipment,</w:t>
            </w:r>
          </w:p>
        </w:tc>
      </w:tr>
    </w:tbl>
    <w:p>
      <w:pPr>
        <w:autoSpaceDN w:val="0"/>
        <w:autoSpaceDE w:val="0"/>
        <w:widowControl/>
        <w:spacing w:line="257" w:lineRule="auto" w:before="8" w:after="21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and other facilities provided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Educational Institution for such programmes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conform to the prescribed minimum standards;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the governance, management and financial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viability of the Higher Educational Institution are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conducive to operate, such Institution.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59" w:lineRule="auto" w:before="2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provisions of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Higher Educational Institution shall provide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panel of quality auditors with a self evaluating report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visit of the panel of quality auditors to such institution.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59" w:lineRule="auto" w:before="28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panel of Quality Auditors authorized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under subsection (1) makes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examination, investigation or inquiry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an audit under that subsection, the panel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 report of its findings and any recommendations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to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2" w:lineRule="auto" w:before="256" w:after="20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panel of the Quality Auditors authorized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under subsection (1), shall exercise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conferred on such panel of Quality Auditors by that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obstruct or resist any Quality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Auditor of the panel in the exercise of any powers conferred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on the Quality Auditor under subsections (1) and (2).</w:t>
      </w:r>
    </w:p>
    <w:p>
      <w:pPr>
        <w:autoSpaceDN w:val="0"/>
        <w:autoSpaceDE w:val="0"/>
        <w:widowControl/>
        <w:spacing w:line="238" w:lineRule="auto" w:before="264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64" w:after="204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appoint such officers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to the staff of the Commission as it considers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efficient discharge of the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appoint a person who has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 level of management and working experience and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the field of Quality Assurance and the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Qualification Framework (SLQF) as the Secretary to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tabs>
          <w:tab w:pos="1702" w:val="left"/>
          <w:tab w:pos="1942" w:val="left"/>
          <w:tab w:pos="2424" w:val="left"/>
        </w:tabs>
        <w:autoSpaceDE w:val="0"/>
        <w:widowControl/>
        <w:spacing w:line="245" w:lineRule="auto" w:before="24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referred to in subsection (2),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full time officer and shall be responsible for the custody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records and the property of the Commission,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also be the Assistant Accounting Officer.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47" w:lineRule="auto" w:before="23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appoint a financial controller who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  full time officer.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47" w:lineRule="auto" w:before="22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controller shall,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and control of the Secretary, be responsible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finance of the Commission,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its accounts in such form and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and shall have the custody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234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At the request of the Commission any officer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may, with the consent of that officer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Commission is assigned be temporarily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 Commission for such period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Commission or with the like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consent be permanently appointed to such staff.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300" w:lineRule="auto" w:before="37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Commission,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and in relation to him.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300" w:lineRule="auto" w:before="37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the staff of the Commission,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and in relation to him.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302" w:lineRule="auto" w:before="378" w:after="314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Commission employs a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to serve the Commission for a specified period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agreement, any period of service to the Commission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person shall be regarded as service to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discharging the obligations under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and other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paid such remuneration and allowances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Fund of the Commission at such rates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76" w:lineRule="auto" w:before="3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 determine with the concurrence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to whom the subject of Finance is assigned.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218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Commission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54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the Secretary;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altered in such manner as may be determined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244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affixed to any instrument or document</w:t>
            </w:r>
          </w:p>
        </w:tc>
      </w:tr>
    </w:tbl>
    <w:p>
      <w:pPr>
        <w:autoSpaceDN w:val="0"/>
        <w:autoSpaceDE w:val="0"/>
        <w:widowControl/>
        <w:spacing w:line="276" w:lineRule="auto" w:before="24" w:after="26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in the presence of the Secretary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Commission, both of whom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 instrument or document in token of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maintain a register of the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6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or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is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the Establishment Code and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Disciplinary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 of the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circulars issued by the Government relating to disciplinary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and regulations made under this Act, shall apply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6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relation to disciplinary control of the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Commission, to the extent as is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may subject to such conditions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writing, delegate to the Chairman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member or to any other officer of the Commission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4" w:after="26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powers, functions or duties under this Act,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such other member or the officer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such power, function or duty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any special or general directions issued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 delegation made under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Commission may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any such power, function or duty so delegated.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35" w:lineRule="auto" w:before="254" w:after="0"/>
        <w:ind w:left="0" w:right="4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IV</w:t>
      </w:r>
    </w:p>
    <w:p>
      <w:pPr>
        <w:autoSpaceDN w:val="0"/>
        <w:autoSpaceDE w:val="0"/>
        <w:widowControl/>
        <w:spacing w:line="235" w:lineRule="auto" w:before="230" w:after="166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have its own Fund.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paid into the Fund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from time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 by Parliament for the use of the 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as may be received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by way of donations, gifts or grants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any source whatsoever;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as may be received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as fees charged for: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Accreditation and Quality Assurance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Higher Educational Institutions;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issue and renewal of certificates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accreditation to Higher Educational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service rendered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paid out of the Fund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required to defray all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by the Commission in the exercise,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its powers, duties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Act or any other written law;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6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0"/>
        <w:ind w:left="2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expense which is authorized or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paid out of the Fund by or under this part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206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Commission shall be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year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  <w:tr>
        <w:trPr>
          <w:trHeight w:hRule="exact" w:val="40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cause proper books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accounts to be kept of the income and expenditure, assets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2" w:after="0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and all other transactions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shall be kept at the office of the Commission.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64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Article 154 of the Constitution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 and in relation to the audit of the accounts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9" w:lineRule="auto" w:before="29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part II of the Finance Act, No. 38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1971,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the financial control and accounts of the Commission.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64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have its accounts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year by the Auditor-General. For the purpose of assisting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in the audit of such accounts,the Auditor–General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 the services of any qualified auditor or auditors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act under his direction and control.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69" w:lineRule="auto" w:before="2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meeting the expenditure incurred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in auditing the accounts of the Commission,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Auditor-General shall be paid from the Fund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such remuneration as the Minister may,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to whom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is assigned determined. Any remuneration received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Commission by the Auditor-General shall,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deducting any sums paid by him to any qualified auditor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by him for the purpose of such audit, be credited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Consolidated Fund.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64" w:lineRule="auto" w:before="29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this section, the expression </w:t>
      </w: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“qualified auditor”means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4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5" w:lineRule="auto" w:before="14" w:after="174"/>
        <w:ind w:left="0" w:right="32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9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2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9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  <w:tr>
        <w:trPr>
          <w:trHeight w:hRule="exact" w:val="90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Chartered Accountants of Sri Lanka or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to practice as an Accountant issued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such Institute; or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2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firm of Accountants each of the resident partners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which being a member of the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Chartered Accountants of Sri Lanka or of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established by law, possesses a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practice as an Accountant 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such Institute.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38" w:lineRule="auto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Auditor-General shall examine the accounts of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and furnish a report –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" w:val="left"/>
              </w:tabs>
              <w:autoSpaceDE w:val="0"/>
              <w:widowControl/>
              <w:spacing w:line="245" w:lineRule="auto" w:before="106" w:after="0"/>
              <w:ind w:left="2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stating whether he has or has not obtained all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and explanations required by him;</w:t>
            </w:r>
          </w:p>
        </w:tc>
      </w:tr>
      <w:tr>
        <w:trPr>
          <w:trHeight w:hRule="exact" w:val="10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216" w:right="1202" w:firstLine="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stating whether the accounts referred to in the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properly drawn up so as to exhibit a true and fair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view of the financial position of that Commission;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10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216" w:right="1202" w:firstLine="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drawing attention to any item in the accounts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his opinion may be of interest to Parliament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examination of the activities and accounts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Commission.</w:t>
            </w:r>
          </w:p>
        </w:tc>
      </w:tr>
      <w:tr>
        <w:trPr>
          <w:trHeight w:hRule="exact" w:val="359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96" w:val="left"/>
              </w:tabs>
              <w:autoSpaceDE w:val="0"/>
              <w:widowControl/>
              <w:spacing w:line="245" w:lineRule="auto" w:before="98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(9)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Auditor-General shall transmit his report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  <w:p>
            <w:pPr>
              <w:autoSpaceDN w:val="0"/>
              <w:autoSpaceDE w:val="0"/>
              <w:widowControl/>
              <w:spacing w:line="245" w:lineRule="auto" w:before="18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(10) The Auditor-General’s report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(9), shall be considered by the Commission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shall, within three months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transmission of such report to the Commission, inform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Auditor-General of the steps taken or proposed to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regard to the matters pointed out in such report.</w:t>
            </w:r>
          </w:p>
          <w:p>
            <w:pPr>
              <w:autoSpaceDN w:val="0"/>
              <w:autoSpaceDE w:val="0"/>
              <w:widowControl/>
              <w:spacing w:line="245" w:lineRule="auto" w:before="18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(11) The statement of accounts to which the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relates, transmit to the Minister who shall cause copies thereof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tabled in Parliament, before the end of the year next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succeeding the year to which such accounts and report relate,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Chairman of the Commission shall attend and answer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questions arising there from before the Public Accounts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of Parliament.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Higher Education</w:t>
      </w:r>
    </w:p>
    <w:p>
      <w:pPr>
        <w:autoSpaceDN w:val="0"/>
        <w:autoSpaceDE w:val="0"/>
        <w:widowControl/>
        <w:spacing w:line="235" w:lineRule="auto" w:before="14" w:after="194"/>
        <w:ind w:left="0" w:right="33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cause to prepare a budget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each financial year which shall be approved 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 of the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not later than three months prior to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the financial year to which the budget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with the consent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given in concurrence with the Minister to whom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borrow.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 is assigned borrow temporarily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overdraft or otherwise, such sums of money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require for defraying any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by it in the exercise, performance and discharge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powers, duties and functions under this Act: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aggregate of the amounts outstanding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any loans raised by the Commission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section, shall not exceed such sum as may be determined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in consultation with the Minister to whom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Finance is assigned.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invest its money in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the Commission may determine or use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 that is in its possession as collateral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satisfying any liabilities incurred by it,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such directions that may be issued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to whom the subject of Finance is assigned for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V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2" w:after="126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 liability, whether civil or criminal,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 to any member or officer of the Commission or to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and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authorized by such member or officer, for anything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in good faith is done in the performance or exercise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1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function or power imposed or assigned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suit or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prosecution.</w:t>
            </w:r>
          </w:p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expense incurred by the Commission in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 or prosecution brought by or against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any court shall be paid out of the Fund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and any costs paid to, or recovered by,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such suit or prosecution shall be credited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that Fund.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50" w:lineRule="auto" w:before="254" w:after="164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expense incurred by any such person as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(2), in any suit or prosecution brought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him before any court in respect of any act which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done or purported to be done by him under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instrument, or on the direction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shall, if the court holds that the act was done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good faith, be paid out of the fund of the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expense is recovered by him in such suit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establish an information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center for the purpose of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information relating to accreditation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center.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quality assurance including the provision of a 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recognized or  accredited Higher 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public, private, local and foreign,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outside Sri Lanka  by the Commission, different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6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types of qualifications and the requirements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gaining access to each type of institution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offering advice to students on issues relating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into  higher educational institutions and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programmes.</w:t>
      </w:r>
    </w:p>
    <w:p>
      <w:pPr>
        <w:autoSpaceDN w:val="0"/>
        <w:tabs>
          <w:tab w:pos="1796" w:val="left"/>
          <w:tab w:pos="2036" w:val="left"/>
          <w:tab w:pos="2518" w:val="left"/>
        </w:tabs>
        <w:autoSpaceDE w:val="0"/>
        <w:widowControl/>
        <w:spacing w:line="247" w:lineRule="auto" w:before="22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ensure the provision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relevant, accurate, and updated information in order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the recognition of qualifications concerning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education.</w:t>
      </w:r>
    </w:p>
    <w:p>
      <w:pPr>
        <w:autoSpaceDN w:val="0"/>
        <w:tabs>
          <w:tab w:pos="2036" w:val="left"/>
          <w:tab w:pos="2516" w:val="left"/>
        </w:tabs>
        <w:autoSpaceDE w:val="0"/>
        <w:widowControl/>
        <w:spacing w:line="245" w:lineRule="auto" w:before="224" w:after="16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this section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available the register referred to in subsection (2)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21 for public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have the exclusive right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Symbol,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use of such symbol, design or representation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design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representation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select or devise and thereafter display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exhibit any symbol, design or representation so selected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devised.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48" w:after="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who, without prior written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use a symbol, design or representation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selected or devised by the Commission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or use any symbol, design or representation which is identical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any symbol, design or representation selected or devised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Commission or which so resembles any such symbol,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 or representation so as to deceive or cause confusion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which is likely to deceive or to cause confusion,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guilty of an offence under this Act and shall be liable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after trial by a Magistrate to a fine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hundred thousand rupees or to imprisonment for a term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twelve months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members of the Commission, officers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 members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 shall be deemed to be public servants within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and for the purposes of 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 for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purposes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Penal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Code.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scheduled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26) and the provisions of the Act shall be construed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purposes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Bribery</w:t>
            </w:r>
          </w:p>
        </w:tc>
      </w:tr>
    </w:tbl>
    <w:p>
      <w:pPr>
        <w:autoSpaceDN w:val="0"/>
        <w:autoSpaceDE w:val="0"/>
        <w:widowControl/>
        <w:spacing w:line="235" w:lineRule="auto" w:before="0" w:after="56"/>
        <w:ind w:left="0" w:right="20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may from time to time, convey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Cabinet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Ministers.</w:t>
            </w:r>
          </w:p>
        </w:tc>
      </w:tr>
      <w:tr>
        <w:trPr>
          <w:trHeight w:hRule="exact" w:val="47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directions taken by the Cabinet of Ministers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connection with the exercise, performance and discharge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this Act or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1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 and it shall be the duty of the Commission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effect to such directions.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contravenes any provision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any rule or regulation made thereunder, or any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imposed under any provision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decision, direction, order or determination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shall be guilty of an offence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shall, except as otherwise expressly provided in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54" w:lineRule="auto" w:before="258" w:after="20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Act, be liable, on conviction after summary trial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to a fine not less than two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imprisonment for a term not less than two years </w:t>
      </w:r>
      <w:r>
        <w:rPr>
          <w:rFonts w:ascii="Times" w:hAnsi="Times" w:eastAsia="Times"/>
          <w:b w:val="0"/>
          <w:i w:val="0"/>
          <w:color w:val="221F1F"/>
          <w:sz w:val="20"/>
        </w:rPr>
        <w:t>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conviction of any person for an offence under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 Magistrate may, in addition to or in lieu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any punishment prescribed for the offence,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directing to revoke the status granted under Part II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a date specified in the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contrary to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contained in subsection (1), no prosecution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Act, shall be instituted except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written sanction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an offence under this Act or any rule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made thereunder is committed by a body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committed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persons, then if that body of persons is:-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 body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or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corporate, every director and officer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partnership.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including the Chief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the Principal Executive Officer or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Officer as the case may be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6" w:after="0"/>
        <w:ind w:left="21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 partnership, every partner of such partnership,</w:t>
      </w:r>
    </w:p>
    <w:p>
      <w:pPr>
        <w:autoSpaceDN w:val="0"/>
        <w:autoSpaceDE w:val="0"/>
        <w:widowControl/>
        <w:spacing w:line="235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guilty of that offence: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 that,  a director or an officer or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the Principal Executive Officer or the Chief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Officer of a body corporate or a partner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partnership, as the case may be, shall not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guilty of such offence, if he  proves to the satisfaction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that such offence was committed without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or that he exercised all due diligence as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necessary, to prevent the commission of such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196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may make rules in respect of–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Rules.</w:t>
            </w:r>
          </w:p>
        </w:tc>
      </w:tr>
      <w:tr>
        <w:trPr>
          <w:trHeight w:hRule="exact" w:val="38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employment and dismissal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 to the Quality Audit Panels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powers, functions and conduct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of remuneration;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the summoning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meetings, Annual General Meeting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extra ordinary meetings of 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Commission;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use of government logo and symbol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by an accredited Higher Educational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0" w:after="200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 respect of which, rules are required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may make regulations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Regulations.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concurrence of the Commission in respect of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this Act, to be prescribed or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authorized by this Act to be made.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50" w:lineRule="auto" w:before="26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powers conferred by subsection (1), the Minister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Commission may make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all or any of the following matters 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0" w:after="200"/>
        <w:ind w:left="20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the Sri Lanka Qualification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 (SLQF);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assessment and evaluation of the quality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standards including minimum standards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issued by a professional or statutory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body, and academic standards 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 of Higher Educational Institutions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5" w:lineRule="auto" w:before="254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purpose of granting provisional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full accreditation to such institutions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evaluate foreign degrees, diplomas and other academic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distinctions for the purpose of recognition of such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degrees,diplomas and other academic distinctions;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form, manner, criteria, time periods and other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for the purpose of applying for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granting of provisional or full accreditation;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applications for accreditation, certificates and other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 required to be prescribed under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 and charges levied for any service  under this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6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form, manner and criteria for the grant of initial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clearance;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and the mode of recognizing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professional, statutory or regulatory body.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under subsection (1),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date of such publication or on such later date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specified in such regulation.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47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regulation made under subsection (1),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before Parliament for approval and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 shall be deemed to be rescinded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date of such disapproval, but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45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regulation made by the Minister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concurrence of the Commission may at any time,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amended, added to, varied or rescinded by a like regulation.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194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appointed under the authority of this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Secrecy.</w:t>
            </w:r>
          </w:p>
        </w:tc>
      </w:tr>
      <w:tr>
        <w:trPr>
          <w:trHeight w:hRule="exact" w:val="2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shall, before entering upon his duties, sign a declaration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pledging himself to observe strict secrecy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information, which may come to his knowledge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performance and discharge of his powers, duties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under this Act, shall by such declaration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pledge himself not to disclose any such information, except-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required to do so by a Court of law;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order to comply with any of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any other written 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any difficulty arises in giving effect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the rules, regulations, or Orders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Act, the Minister may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such provision not inconsistent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or any other written law, as appears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Minister to be necessary or expedient for removing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difficulty for a period of one year from the date of coming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operation of such Order.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45" w:lineRule="auto" w:before="24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Every Order made under this section shall, as soon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practicable after it is made, be laid before Parliament.</w:t>
      </w:r>
    </w:p>
    <w:p>
      <w:pPr>
        <w:autoSpaceDN w:val="0"/>
        <w:autoSpaceDE w:val="0"/>
        <w:widowControl/>
        <w:spacing w:line="238" w:lineRule="auto" w:before="24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40" w:after="180"/>
        <w:ind w:left="0" w:right="39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RANSITIONAL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Notwithstanding anything to the contrary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provision of this Act 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pending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made under section 137 of the Universities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16 of 1978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Qualifications</w:t>
            </w:r>
          </w:p>
        </w:tc>
      </w:tr>
      <w:tr>
        <w:trPr>
          <w:trHeight w:hRule="exact" w:val="21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Extraordinary No.1824/21 dated August 22, 2013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Framework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continue to be in operation for a period of six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Quality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from the date of commencement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Assurance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Sri Lanka Qualifications Framework (SLQF)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Accreditation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by the Ministry of the Minister assigned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52" w:lineRule="auto" w:before="25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Higher Education  on the day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before the date of coming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so far as  it is not  inconsistent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this Act, shall continue to be in force unless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amended under this Act;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The University Grants Commission established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4" w:lineRule="auto" w:before="1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Universities Act, No. 16 of 1978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Quality Assurance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Accreditation of the Higher Educational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established or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Universities Act, No. 16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1978 and Institutions recognized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25 of the Universities Act, No. 16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1978 for a period of six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establishment of the Commission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 of this Act; and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54" w:lineRule="auto" w:before="266" w:after="1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After the lapse of the period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(i), notwithstanding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in the Universities Act, No. 16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1978 relating to Quality Assurance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Accreditation functions the Commission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functions in relation to Quality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Assurance and Accreditation pertaining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Higher Educational Institutions established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established under the Universities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16 of 1978 and Institutions recognized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25 of the Universities Act, No. 16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The Minister in terms of the provisions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25A  read with section 70C (1) and (2)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Universities Act, No. 16 of 1978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 any Institution as a Degree Awarding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for a period of six months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 of establishment of the Commission under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20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 of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8" w:val="left"/>
          <w:tab w:pos="3368" w:val="left"/>
        </w:tabs>
        <w:autoSpaceDE w:val="0"/>
        <w:widowControl/>
        <w:spacing w:line="245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7" w:lineRule="auto" w:before="254" w:after="8"/>
        <w:ind w:left="2784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After the lapse of the period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notwithstanding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in section 25A read with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70C (1) and (2) of the Universities Act, No. 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1978 the Commission shall discharge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in relation to Quality Assurance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Accreditation pertaining to such Degree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Awarding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The Specified Authority appointed under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70B read with section 70D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Universities Act, No. 16 of 1978 shall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the Quality Assurance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Accreditation of the Degree Awarding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Institutions for a period of six months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establishment of the Commission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this Act; and</w:t>
            </w:r>
          </w:p>
        </w:tc>
      </w:tr>
    </w:tbl>
    <w:p>
      <w:pPr>
        <w:autoSpaceDN w:val="0"/>
        <w:tabs>
          <w:tab w:pos="2424" w:val="left"/>
          <w:tab w:pos="2784" w:val="left"/>
        </w:tabs>
        <w:autoSpaceDE w:val="0"/>
        <w:widowControl/>
        <w:spacing w:line="250" w:lineRule="auto" w:before="194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After the lapse of the of the period referred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(i), notwithstanding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under section 70B read with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70D of the Universities Act, No. 16 of 1978,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discharge the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Quality Assurance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Accreditation pertaining to such Degree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Awarding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activity carried out by the specified Authority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47" w:lineRule="auto" w:before="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activities carried out under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)(i) and which was not completed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before the date of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shall be completed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unless it is not inconsistent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2008" w:val="left"/>
          <w:tab w:pos="2424" w:val="left"/>
        </w:tabs>
        <w:autoSpaceDE w:val="0"/>
        <w:widowControl/>
        <w:spacing w:line="250" w:lineRule="auto" w:before="2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liabilities of the specified Authority existing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before the date of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shall be deemed to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liabilities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tabs>
          <w:tab w:pos="1796" w:val="left"/>
          <w:tab w:pos="2036" w:val="left"/>
          <w:tab w:pos="2516" w:val="left"/>
        </w:tabs>
        <w:autoSpaceDE w:val="0"/>
        <w:widowControl/>
        <w:spacing w:line="245" w:lineRule="auto" w:before="24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)(i) 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)(i)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)(i) of subsection (1), the Minister may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extend the period of six months to a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may be specified in that order in connection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preliminary or infrastructure arrangements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Commission: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42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such extension shall not exceed more </w:t>
      </w:r>
      <w:r>
        <w:rPr>
          <w:rFonts w:ascii="Times" w:hAnsi="Times" w:eastAsia="Times"/>
          <w:b w:val="0"/>
          <w:i w:val="0"/>
          <w:color w:val="221F1F"/>
          <w:sz w:val="20"/>
        </w:rPr>
        <w:t>than one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“Minister” means the Minister to whom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Higher Education is assigned.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2"/>
        <w:ind w:left="311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“Accreditation” means the granting of official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to a Higher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 or for a specific academic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 conducted by such Institution,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leading to the award of certificate, diploma,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degree or any other qualification, certifying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institution or programme meet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expected standard and quality;</w:t>
      </w:r>
    </w:p>
    <w:p>
      <w:pPr>
        <w:autoSpaceDN w:val="0"/>
        <w:tabs>
          <w:tab w:pos="2636" w:val="left"/>
          <w:tab w:pos="3116" w:val="left"/>
        </w:tabs>
        <w:autoSpaceDE w:val="0"/>
        <w:widowControl/>
        <w:spacing w:line="245" w:lineRule="auto" w:before="240" w:after="4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“Higher Education” means any academic study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course or other studies beyond the upper-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secondary level provided in conventional,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and distance learning modes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blended modes of learning, leading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 of any certificate, diploma, degree,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higher qualification or an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equivalent thereof;</w:t>
      </w:r>
    </w:p>
    <w:p>
      <w:pPr>
        <w:autoSpaceDN w:val="0"/>
        <w:autoSpaceDE w:val="0"/>
        <w:widowControl/>
        <w:spacing w:line="245" w:lineRule="auto" w:before="242" w:after="4"/>
        <w:ind w:left="311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“Higher Educational Institution” means  an 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defined under the definition of expression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“Higher Educational Institution” in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147 of the Universities Act, No. 16 of 1978,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Higher Educational Institutes, Centre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Higher Learning established under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24A  of the Universities Act, No. 16 of 1978,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Higher Education</w:t>
      </w:r>
    </w:p>
    <w:p>
      <w:pPr>
        <w:autoSpaceDN w:val="0"/>
        <w:autoSpaceDE w:val="0"/>
        <w:widowControl/>
        <w:spacing w:line="235" w:lineRule="auto" w:before="14" w:after="182"/>
        <w:ind w:left="0" w:right="33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367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8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8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or College recognized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or Centre for Higher Learning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24B of the Universities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No. 16 of 1978, Institutes recognized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25 of the Universities Act, No. 16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1978, Institute recognized as Degree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Awarding Institutes under section 25A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Higher Education, Institutions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Higher Education established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any Act of Parliament,  any other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foreign Institution providing  Higher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Education under any written law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affiliated with a foreign University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Higher Educational Institutions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leading to the award of certificate, diploma,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degree or any other qualification;</w:t>
            </w:r>
          </w:p>
        </w:tc>
      </w:tr>
    </w:tbl>
    <w:p>
      <w:pPr>
        <w:autoSpaceDN w:val="0"/>
        <w:autoSpaceDE w:val="0"/>
        <w:widowControl/>
        <w:spacing w:line="238" w:lineRule="auto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“President” means the President of the Democratic</w:t>
      </w:r>
    </w:p>
    <w:p>
      <w:pPr>
        <w:autoSpaceDN w:val="0"/>
        <w:autoSpaceDE w:val="0"/>
        <w:widowControl/>
        <w:spacing w:line="235" w:lineRule="auto" w:before="0" w:after="158"/>
        <w:ind w:left="0" w:right="3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02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110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“certificate of initial clearance”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issued by the Commission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Higher Educational Institution prior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establishment of physical infrastructure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 its operations;</w:t>
            </w:r>
          </w:p>
          <w:p>
            <w:pPr>
              <w:autoSpaceDN w:val="0"/>
              <w:tabs>
                <w:tab w:pos="962" w:val="left"/>
              </w:tabs>
              <w:autoSpaceDE w:val="0"/>
              <w:widowControl/>
              <w:spacing w:line="245" w:lineRule="auto" w:before="218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“prescribed” means prescribed by regulations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this Act;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9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“professional or statutory or regulatory body”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 a body of expert practitioners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under any written law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determining standards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quality assurance and accreditation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profession;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“Programme” means a stand alone approved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foreign  curriculum which leads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 of qualifications in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Qualifications Framework level 3 and above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professional programme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course of study;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  <w:tab w:pos="6392" w:val="left"/>
        </w:tabs>
        <w:autoSpaceDE w:val="0"/>
        <w:widowControl/>
        <w:spacing w:line="245" w:lineRule="auto" w:before="0" w:after="0"/>
        <w:ind w:left="262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Higher Education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45" w:lineRule="auto" w:before="248" w:after="192"/>
        <w:ind w:left="311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“professional programme” includes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 programme designed to prepare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student for a specific profession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professional qualification;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1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“relevant professional or statutory or regulatory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body” means the professional or statutory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1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regulatory body local or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by the Commission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19 of this Act;</w:t>
      </w:r>
    </w:p>
    <w:p>
      <w:pPr>
        <w:autoSpaceDN w:val="0"/>
        <w:tabs>
          <w:tab w:pos="2636" w:val="left"/>
          <w:tab w:pos="3116" w:val="left"/>
        </w:tabs>
        <w:autoSpaceDE w:val="0"/>
        <w:widowControl/>
        <w:spacing w:line="245" w:lineRule="auto" w:before="25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Qualifications  Framework”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Framework as provided by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regulation made under this Act;</w:t>
      </w:r>
    </w:p>
    <w:p>
      <w:pPr>
        <w:autoSpaceDN w:val="0"/>
        <w:tabs>
          <w:tab w:pos="2636" w:val="left"/>
          <w:tab w:pos="3116" w:val="left"/>
        </w:tabs>
        <w:autoSpaceDE w:val="0"/>
        <w:widowControl/>
        <w:spacing w:line="245" w:lineRule="auto" w:before="25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“Specified authority” means any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70B of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Universities Act, No. 16 of 1978;</w:t>
      </w:r>
    </w:p>
    <w:p>
      <w:pPr>
        <w:autoSpaceDN w:val="0"/>
        <w:autoSpaceDE w:val="0"/>
        <w:widowControl/>
        <w:spacing w:line="245" w:lineRule="auto" w:before="254" w:after="194"/>
        <w:ind w:left="311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“University Grants Commission”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Grants Commission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Universities Act, No. 16 of 1978.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884" w:space="0"/>
            <w:col w:w="3136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2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Higher Education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3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(Quality Assurance and Accreditation)</w:t>
      </w:r>
    </w:p>
    <w:p>
      <w:pPr>
        <w:autoSpaceDN w:val="0"/>
        <w:autoSpaceDE w:val="0"/>
        <w:widowControl/>
        <w:spacing w:line="235" w:lineRule="auto" w:before="87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884" w:space="0"/>
        <w:col w:w="3136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