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auto" w:before="14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>WAGES  BOARDS  (AMENDMENT)</w:t>
      </w:r>
    </w:p>
    <w:p>
      <w:pPr>
        <w:autoSpaceDN w:val="0"/>
        <w:autoSpaceDE w:val="0"/>
        <w:widowControl/>
        <w:spacing w:line="238" w:lineRule="auto" w:before="31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88" w:lineRule="auto" w:before="21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Wages Boards Ordinance</w:t>
      </w:r>
    </w:p>
    <w:p>
      <w:pPr>
        <w:autoSpaceDN w:val="0"/>
        <w:autoSpaceDE w:val="0"/>
        <w:widowControl/>
        <w:spacing w:line="235" w:lineRule="auto" w:before="28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52" w:lineRule="auto" w:before="324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Non Cabinet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Minister of  Labour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Trade Union Relations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July, 2019</w:t>
      </w:r>
    </w:p>
    <w:p>
      <w:pPr>
        <w:autoSpaceDN w:val="0"/>
        <w:autoSpaceDE w:val="0"/>
        <w:widowControl/>
        <w:spacing w:line="238" w:lineRule="auto" w:before="2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07, 2019)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285]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17.00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Wages Boards Ordinance (Chapter 136)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impose an enhanced punishment on the defaulting employers.</w:t>
      </w:r>
    </w:p>
    <w:p>
      <w:pPr>
        <w:autoSpaceDN w:val="0"/>
        <w:autoSpaceDE w:val="0"/>
        <w:widowControl/>
        <w:spacing w:line="252" w:lineRule="auto" w:before="216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require the employer to preserve the register of workers for </w:t>
      </w:r>
      <w:r>
        <w:rPr>
          <w:rFonts w:ascii="Times" w:hAnsi="Times" w:eastAsia="Times"/>
          <w:b w:val="0"/>
          <w:i w:val="0"/>
          <w:color w:val="221F1F"/>
          <w:sz w:val="16"/>
        </w:rPr>
        <w:t>a period of six years.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impose an enhanced punishment on the defaulting employers </w:t>
      </w:r>
      <w:r>
        <w:rPr>
          <w:rFonts w:ascii="Times" w:hAnsi="Times" w:eastAsia="Times"/>
          <w:b w:val="0"/>
          <w:i w:val="0"/>
          <w:color w:val="221F1F"/>
          <w:sz w:val="16"/>
        </w:rPr>
        <w:t>in respect of payment of wages.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46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increase the period of making a complaint in respect of </w:t>
      </w:r>
      <w:r>
        <w:rPr>
          <w:rFonts w:ascii="Times" w:hAnsi="Times" w:eastAsia="Times"/>
          <w:b w:val="0"/>
          <w:i w:val="0"/>
          <w:color w:val="221F1F"/>
          <w:sz w:val="16"/>
        </w:rPr>
        <w:t>recovery of sums due.</w:t>
      </w:r>
    </w:p>
    <w:p>
      <w:pPr>
        <w:autoSpaceDN w:val="0"/>
        <w:autoSpaceDE w:val="0"/>
        <w:widowControl/>
        <w:spacing w:line="252" w:lineRule="auto" w:before="216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48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impose an enhanced punishment in respect of certain </w:t>
      </w:r>
      <w:r>
        <w:rPr>
          <w:rFonts w:ascii="Times" w:hAnsi="Times" w:eastAsia="Times"/>
          <w:b w:val="0"/>
          <w:i w:val="0"/>
          <w:color w:val="221F1F"/>
          <w:sz w:val="16"/>
        </w:rPr>
        <w:t>offences.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impose an enhanced punishment in respect of certain </w:t>
      </w:r>
      <w:r>
        <w:rPr>
          <w:rFonts w:ascii="Times" w:hAnsi="Times" w:eastAsia="Times"/>
          <w:b w:val="0"/>
          <w:i w:val="0"/>
          <w:color w:val="221F1F"/>
          <w:sz w:val="16"/>
        </w:rPr>
        <w:t>offences.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impose an enhanced punishment in respect of certain </w:t>
      </w:r>
      <w:r>
        <w:rPr>
          <w:rFonts w:ascii="Times" w:hAnsi="Times" w:eastAsia="Times"/>
          <w:b w:val="0"/>
          <w:i w:val="0"/>
          <w:color w:val="221F1F"/>
          <w:sz w:val="16"/>
        </w:rPr>
        <w:t>offences.</w:t>
      </w:r>
    </w:p>
    <w:p>
      <w:pPr>
        <w:autoSpaceDN w:val="0"/>
        <w:autoSpaceDE w:val="0"/>
        <w:widowControl/>
        <w:spacing w:line="252" w:lineRule="auto" w:before="216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56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extend the period within which a suit could be instituted for </w:t>
      </w:r>
      <w:r>
        <w:rPr>
          <w:rFonts w:ascii="Times" w:hAnsi="Times" w:eastAsia="Times"/>
          <w:b w:val="0"/>
          <w:i w:val="0"/>
          <w:color w:val="221F1F"/>
          <w:sz w:val="16"/>
        </w:rPr>
        <w:t>the recovery of money.</w:t>
      </w:r>
    </w:p>
    <w:p>
      <w:pPr>
        <w:autoSpaceDN w:val="0"/>
        <w:autoSpaceDE w:val="0"/>
        <w:widowControl/>
        <w:spacing w:line="252" w:lineRule="auto" w:before="220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58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impose an enhanced punishment in respect of certain </w:t>
      </w:r>
      <w:r>
        <w:rPr>
          <w:rFonts w:ascii="Times" w:hAnsi="Times" w:eastAsia="Times"/>
          <w:b w:val="0"/>
          <w:i w:val="0"/>
          <w:color w:val="221F1F"/>
          <w:sz w:val="16"/>
        </w:rPr>
        <w:t>offences.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11: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replaces section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regulate the contract or work arrangement.</w:t>
      </w:r>
    </w:p>
    <w:p>
      <w:pPr>
        <w:autoSpaceDN w:val="0"/>
        <w:tabs>
          <w:tab w:pos="1670" w:val="left"/>
        </w:tabs>
        <w:autoSpaceDE w:val="0"/>
        <w:widowControl/>
        <w:spacing w:line="247" w:lineRule="auto" w:before="22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sections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59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provides for the establishment of a Special Employment Relations Tribunal.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55/2009</w:t>
      </w:r>
    </w:p>
    <w:p>
      <w:pPr>
        <w:autoSpaceDN w:val="0"/>
        <w:autoSpaceDE w:val="0"/>
        <w:widowControl/>
        <w:spacing w:line="235" w:lineRule="auto" w:before="280" w:after="0"/>
        <w:ind w:left="0" w:right="30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</w:p>
    <w:p>
      <w:pPr>
        <w:autoSpaceDN w:val="0"/>
        <w:autoSpaceDE w:val="0"/>
        <w:widowControl/>
        <w:spacing w:line="252" w:lineRule="auto" w:before="282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Wages Boards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Wages Boards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136)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of that section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 of the following:—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62" w:lineRule="auto" w:before="276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Every employer who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provisions of this section of this Part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 and shall be liable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five thousand rupees 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one year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 such fine and imprisonment.”;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(2A) of that section—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282" w:after="12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“of such sum.”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“of such sum;”;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 that section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sum is in arrears for a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exceeding twenty four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6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Wages Boards (Amendment)</w:t>
      </w:r>
    </w:p>
    <w:p>
      <w:pPr>
        <w:autoSpaceDN w:val="0"/>
        <w:autoSpaceDE w:val="0"/>
        <w:widowControl/>
        <w:spacing w:line="245" w:lineRule="auto" w:before="476" w:after="180"/>
        <w:ind w:left="38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a surcharge of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thereafter for each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twelve 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41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“four years commencing” of the words “six years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2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subsections (1) and (2)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44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and the substitution therefor of the following:—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“(1) Every employer who fails to pay wages to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tabs>
          <w:tab w:pos="200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worker in accordance with the provisions of section 21,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shall be liable to a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five thousand rupees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thousand rupees or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of a term not exceeding one year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fine and imprisonment, and shall in addition,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exceeding five hundred rupees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day on which the offence is continued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conviction.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45" w:lineRule="auto" w:before="234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employer, other than an employer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(1), who fails to make to any worker,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in accordance with any provision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Ordinance or of any decision of a Wages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Board, shall be guilty of an offence and shall be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fine not less than five thousand rupees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ten thousand rupees or to imprisonment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description for a term not exceeding one year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such fine and imprisonment, and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rupees for each day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offence is continued after conviction.”.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subseciton (1) 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46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“during the four years”,  of the words “during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48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subseciton (1)  of that section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48</w:t>
            </w:r>
          </w:p>
        </w:tc>
      </w:tr>
      <w:tr>
        <w:trPr>
          <w:trHeight w:hRule="exact" w:val="149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“to a fine not exceeding five hundred rupees”,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“to a fine not exceeding five thousand rupees”.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subseciton (1)  of that section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50</w:t>
            </w:r>
          </w:p>
        </w:tc>
      </w:tr>
      <w:tr>
        <w:trPr>
          <w:trHeight w:hRule="exact" w:val="17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“not exceeding two hundred rupees” and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“not exceeding three months”, of the words “not less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five thousand rupees” and the words “not exceeding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months” respectively.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“not exceeding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51</w:t>
            </w:r>
          </w:p>
        </w:tc>
      </w:tr>
      <w:tr>
        <w:trPr>
          <w:trHeight w:hRule="exact" w:val="17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hundred rupees” and the words “not exceeding three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months” of the words “not less than five thousand rupees”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words “not exceeding twelve months” respectively.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of that section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56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“within four years” of the words “within six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13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the succeeding paragraph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58</w:t>
            </w:r>
          </w:p>
        </w:tc>
      </w:tr>
      <w:tr>
        <w:trPr>
          <w:trHeight w:hRule="exact" w:val="4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by the substitution for the words “not exceeding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thousand rupees” and the words “not exceeding six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months” of the words “not less than twenty thousand rupees”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words “not exceeding twelve months” respectively.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substituted therefor:—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9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94"/>
        </w:trPr>
        <w:tc>
          <w:tcPr>
            <w:tcW w:type="dxa" w:w="1503"/>
            <w:vMerge/>
            <w:tcBorders/>
          </w:tcPr>
          <w:p/>
        </w:tc>
        <w:tc>
          <w:tcPr>
            <w:tcW w:type="dxa" w:w="10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“Special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work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by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trade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  <w:tc>
          <w:tcPr>
            <w:tcW w:type="dxa" w:w="38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68" w:right="6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Where any person enters into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contract or work arrangement expressed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implied, for trade or commercial purposes,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person who employs workers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work on a regular basis which is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integral part of the business activities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first-mentioned person, and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employs workers pursuant to the said contract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work arrangement, such contract  or work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 shall be deemed to amount to 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62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11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purpose.</w:t>
            </w:r>
          </w:p>
        </w:tc>
        <w:tc>
          <w:tcPr>
            <w:tcW w:type="dxa" w:w="4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disguised employment relationship.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6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Wages Boards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478" w:after="0"/>
        <w:ind w:left="149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Commissioner is of opinion,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due inquiries, that such contract or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 is in fact a disguised 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relationship, he shall in writing direct the first-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mentioned person referred to in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refrain from having such work executed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such contract or arrangement 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workers.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45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who has been aggrieved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 made in respect of him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shall have a right to appeal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Employment Relations 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section 59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Act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thirty days of the making of such directive.</w:t>
      </w:r>
    </w:p>
    <w:p>
      <w:pPr>
        <w:autoSpaceDN w:val="0"/>
        <w:autoSpaceDE w:val="0"/>
        <w:widowControl/>
        <w:spacing w:line="245" w:lineRule="auto" w:before="4" w:after="18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Special Employment Relations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thereafter summon all parties concerned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make a determination affirming or rejecting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directive of the Commissioner.”.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sections are hereby inserted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and 59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sections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“Establishment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established a Special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Special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 Relations Tribunal (hereinafter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 the “Tribunal”) for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 of appeals made to the Tribunal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aggrieved person in terms of subsection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of section 59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4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Tribunal shall consist of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to be appointed by the Minister.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shall be persons who have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wide knowledge and experience in the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labour laws and one of whom shall be a retired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Judge of the Supreme Court or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who shall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Wages Boards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4" w:lineRule="auto" w:before="490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of the Tribunal shall hold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a period of three years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eligible for reappointment.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82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member may at any time resign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by a letter to that effect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and such resignation shall take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 it being accepted by the Minister.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member vacates office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removal, death or of his inability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 office on account of ill health or absence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or any other cause,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another person in his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subsection (2) and the person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may hold office for the unexpired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term of office of the member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succeeds.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278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 remove any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Tribunal for reasons assigned.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There shall be a Secretary to the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Commissioner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records of the Tribunal and attend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other work assigned to him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Tribunal and the Commissioner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Tribunal.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Commissioner may appoint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servants as are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facilitate the functions of  the Tribunal.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members of the Tribunal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as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in consultation with the Minister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</w:tr>
      <w:tr>
        <w:trPr>
          <w:trHeight w:hRule="exact" w:val="717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and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Tribunal shall hear and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appeals made to it under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Tribunal.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accordance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principles of natural justice. On making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decision, the Chairman shall fourthwith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 the Commissioner and the parties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decision.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Commissioner shall upon receipt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decision of the Tribunal, cause the same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decision shall be effective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parties with effect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from such date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person who fails to comply with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directive of the Commissioner under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institute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or does any act in violation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of the Tribunal under section 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</w:t>
            </w:r>
          </w:p>
        </w:tc>
      </w:tr>
    </w:tbl>
    <w:p>
      <w:pPr>
        <w:autoSpaceDN w:val="0"/>
        <w:tabs>
          <w:tab w:pos="2784" w:val="left"/>
        </w:tabs>
        <w:autoSpaceDE w:val="0"/>
        <w:widowControl/>
        <w:spacing w:line="247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guilty of an offence and the Commissioner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person duly authorized by him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may institute action in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 against such person.”.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Wages Boards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