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12" w:lineRule="exact" w:before="196" w:after="0"/>
        <w:ind w:left="2304" w:right="2448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 xml:space="preserve">CODE OF CRIMINAL PROCEDURE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238" w:lineRule="auto" w:before="22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304" w:after="0"/>
        <w:ind w:left="1988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35" w:lineRule="auto" w:before="228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0" w:lineRule="exact" w:before="284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Minister of Justice and Prison Reforms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11th of July, 2019</w:t>
      </w:r>
    </w:p>
    <w:p>
      <w:pPr>
        <w:autoSpaceDN w:val="0"/>
        <w:autoSpaceDE w:val="0"/>
        <w:widowControl/>
        <w:spacing w:line="235" w:lineRule="auto" w:before="254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17, 2019)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286]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58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1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Code of Criminal Procedure Act, No. 15 of 1979 by </w:t>
      </w:r>
      <w:r>
        <w:rPr>
          <w:rFonts w:ascii="Times" w:hAnsi="Times" w:eastAsia="Times"/>
          <w:b w:val="0"/>
          <w:i w:val="0"/>
          <w:color w:val="221F1F"/>
          <w:sz w:val="16"/>
        </w:rPr>
        <w:t>inserting section 144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that Act and the legal effect of the amendment is to make provisions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Magistrate to dispense personal attendance of a suspect or accused in court </w:t>
      </w:r>
      <w:r>
        <w:rPr>
          <w:rFonts w:ascii="Times" w:hAnsi="Times" w:eastAsia="Times"/>
          <w:b w:val="0"/>
          <w:i w:val="0"/>
          <w:color w:val="221F1F"/>
          <w:sz w:val="16"/>
        </w:rPr>
        <w:t>under the circumstances specified in that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5/2018</w:t>
      </w:r>
    </w:p>
    <w:p>
      <w:pPr>
        <w:autoSpaceDN w:val="0"/>
        <w:autoSpaceDE w:val="0"/>
        <w:widowControl/>
        <w:spacing w:line="245" w:lineRule="auto" w:before="254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Code of Criminal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2.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144 of the Code of Criminal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Act, No.15 of 1979 and shall have effect as 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15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Act:-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1979.</w:t>
            </w:r>
          </w:p>
        </w:tc>
      </w:tr>
      <w:tr>
        <w:trPr>
          <w:trHeight w:hRule="exact" w:val="2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“Personal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Magistrate may, at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42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attendance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suspect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accused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dispensed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5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discretion, dispense with the personal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attendance of a suspect or accused in court,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whom  criminal proceedings have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with, under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instituted before such Magistrate,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circumstances.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extending the period of detention or for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purpose, at the end of each detention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period, or on each trial date.</w:t>
      </w:r>
    </w:p>
    <w:p>
      <w:pPr>
        <w:autoSpaceDN w:val="0"/>
        <w:autoSpaceDE w:val="0"/>
        <w:widowControl/>
        <w:spacing w:line="245" w:lineRule="auto" w:before="254" w:after="6"/>
        <w:ind w:left="28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personal attendance of the suspect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accused may be so dispensed with, on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application made by the relevant person,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in subsection (3), if the Magistrate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satisfied that the personal attendance of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in court may be dispensed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with, on any one or more of the grounds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subsection (4).</w:t>
      </w:r>
    </w:p>
    <w:p>
      <w:pPr>
        <w:autoSpaceDN w:val="0"/>
        <w:tabs>
          <w:tab w:pos="2896" w:val="left"/>
          <w:tab w:pos="313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 application under subsection (2),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 suspect or accused, shall be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–</w:t>
      </w:r>
    </w:p>
    <w:p>
      <w:pPr>
        <w:autoSpaceDN w:val="0"/>
        <w:tabs>
          <w:tab w:pos="3716" w:val="left"/>
        </w:tabs>
        <w:autoSpaceDE w:val="0"/>
        <w:widowControl/>
        <w:spacing w:line="235" w:lineRule="auto" w:before="254" w:after="0"/>
        <w:ind w:left="32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Attorney General;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3624" w:val="left"/>
        </w:tabs>
        <w:autoSpaceDE w:val="0"/>
        <w:widowControl/>
        <w:spacing w:line="245" w:lineRule="auto" w:before="482" w:after="194"/>
        <w:ind w:left="31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suspect or accused himself,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Attorney- at- Law,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officer in charge of the relevant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station;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Superintendent of the prison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6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wherein the suspect or accused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detained.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Magistrate may dispense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attendance of the suspect or accused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on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grounds:-</w:t>
      </w:r>
    </w:p>
    <w:p>
      <w:pPr>
        <w:autoSpaceDN w:val="0"/>
        <w:tabs>
          <w:tab w:pos="3624" w:val="left"/>
        </w:tabs>
        <w:autoSpaceDE w:val="0"/>
        <w:widowControl/>
        <w:spacing w:line="245" w:lineRule="auto" w:before="254" w:after="6"/>
        <w:ind w:left="31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there is a threat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apprehension of serious harm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life of the suspect or accused;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public reaction to the offence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6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alleged to have been committed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suspect or accused is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give rise to a breach of the peace;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likelihood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6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 escaping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detention or being involuntarily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removed from detention;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likelihood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suspect or accused obstructing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proceedings of court.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 Magistrate dispenses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attendance of a suspect or an accused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court, under subsection (1), the reasons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shall be recorded in writing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suspect or accused shall be permitted-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718" w:val="left"/>
        </w:tabs>
        <w:autoSpaceDE w:val="0"/>
        <w:widowControl/>
        <w:spacing w:line="245" w:lineRule="auto" w:before="482" w:after="0"/>
        <w:ind w:left="32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represented in court by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Attorney- at- Law; and</w:t>
      </w:r>
    </w:p>
    <w:p>
      <w:pPr>
        <w:autoSpaceDN w:val="0"/>
        <w:tabs>
          <w:tab w:pos="3718" w:val="left"/>
        </w:tabs>
        <w:autoSpaceDE w:val="0"/>
        <w:widowControl/>
        <w:spacing w:line="245" w:lineRule="auto" w:before="254" w:after="6"/>
        <w:ind w:left="32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his representation through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contemporaneous audio-visual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linkage, where such facilities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available.</w:t>
            </w:r>
          </w:p>
        </w:tc>
      </w:tr>
    </w:tbl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place of detention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is within the judicial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of the Magistrate who dispensed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personal attendance of such suspect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 court, such Magistrate shall 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place of detention not later than forty 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hours of calling the case, and shall look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well-being of the suspect or accused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detained.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50" w:lineRule="auto" w:before="25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the place of detention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is situated outside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judicial division of the Magistrate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dispensed with the personal attendance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in court, it shall be the 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Magistrate to forthwith communicate,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prescribed Form, with the 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jurisdiction over the relevant judicial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division and request him to visit the place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detention of the suspect or accused,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referred to in subsection (6).</w:t>
            </w:r>
          </w:p>
        </w:tc>
      </w:tr>
    </w:tbl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the Magistrate within whose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judicial division the place of detention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is situated, is unable to visit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place of detention, it shall be the duty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Magistrate to forthwith communicate,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prescribed Form, with any other 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request him to visit the place of detention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suspect or accused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(6).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45" w:lineRule="auto" w:before="482" w:after="8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Any Magistrate who has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communicated with, under subsection (7)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(8) shall visit the place of detention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suspect or accused not later than forty eight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hours of the receipt of the Form calling on him,</w:t>
            </w:r>
          </w:p>
        </w:tc>
      </w:tr>
    </w:tbl>
    <w:p>
      <w:pPr>
        <w:autoSpaceDN w:val="0"/>
        <w:autoSpaceDE w:val="0"/>
        <w:widowControl/>
        <w:spacing w:line="247" w:lineRule="auto" w:before="8" w:after="43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visit such place, and report back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who dispensed with the personal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attendance of the suspect or accused,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visit in the Form prescribed in that behalf.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(10) It shall be the duty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Superintendent of a prison to produce any such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8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suspect or accused so detained, before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who visits the prison in terms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(6), (7) or (8)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such Magistrate with the facilities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by him.”.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7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9074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