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312" w:right="316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July 12,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12.07.2019)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8" w:lineRule="auto" w:before="310" w:after="0"/>
        <w:ind w:left="2592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EXCISE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to amend the Excise Ordinance (Chapter 52)</w:t>
      </w:r>
    </w:p>
    <w:p>
      <w:pPr>
        <w:autoSpaceDN w:val="0"/>
        <w:autoSpaceDE w:val="0"/>
        <w:widowControl/>
        <w:spacing w:line="235" w:lineRule="auto" w:before="364" w:after="0"/>
        <w:ind w:left="0" w:right="234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 Finance</w:t>
      </w:r>
    </w:p>
    <w:p>
      <w:pPr>
        <w:autoSpaceDN w:val="0"/>
        <w:autoSpaceDE w:val="0"/>
        <w:widowControl/>
        <w:spacing w:line="238" w:lineRule="auto" w:before="44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4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35 of the Excise Ordinance (Chapter 52) (hereinafter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 and the legal effect of the section as amended is to </w:t>
      </w:r>
      <w:r>
        <w:rPr>
          <w:rFonts w:ascii="Times" w:hAnsi="Times" w:eastAsia="Times"/>
          <w:b w:val="0"/>
          <w:i w:val="0"/>
          <w:color w:val="221F1F"/>
          <w:sz w:val="16"/>
        </w:rPr>
        <w:t>expand the provisions to arrest the offenders without a warrant.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extend the scope of the section to empower the Magistrate to </w:t>
      </w:r>
      <w:r>
        <w:rPr>
          <w:rFonts w:ascii="Times" w:hAnsi="Times" w:eastAsia="Times"/>
          <w:b w:val="0"/>
          <w:i w:val="0"/>
          <w:color w:val="221F1F"/>
          <w:sz w:val="16"/>
        </w:rPr>
        <w:t>take cognizance of more offences.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 (Amendment)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46/2018</w:t>
      </w:r>
    </w:p>
    <w:p>
      <w:pPr>
        <w:autoSpaceDN w:val="0"/>
        <w:autoSpaceDE w:val="0"/>
        <w:widowControl/>
        <w:spacing w:line="238" w:lineRule="auto" w:before="294" w:after="0"/>
        <w:ind w:left="21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XCISE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52)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Excise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35 of the Excise Ordinance (Chapter 52)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Excise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figures, “section 46 or section 47;”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52)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and figures, “section 46, section 47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48;”.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 of the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following:-</w:t>
      </w:r>
    </w:p>
    <w:p>
      <w:pPr>
        <w:autoSpaceDN w:val="0"/>
        <w:tabs>
          <w:tab w:pos="2522" w:val="left"/>
          <w:tab w:pos="2896" w:val="left"/>
        </w:tabs>
        <w:autoSpaceDE w:val="0"/>
        <w:widowControl/>
        <w:spacing w:line="264" w:lineRule="auto" w:before="29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under section 46, section 47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48, except on his own knowledge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suspicion or on the complaint or report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excise officer or a police officer:</w:t>
      </w:r>
    </w:p>
    <w:p>
      <w:pPr>
        <w:autoSpaceDN w:val="0"/>
        <w:tabs>
          <w:tab w:pos="2896" w:val="left"/>
          <w:tab w:pos="3218" w:val="left"/>
        </w:tabs>
        <w:autoSpaceDE w:val="0"/>
        <w:widowControl/>
        <w:spacing w:line="266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police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 complaint or produces a report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48, such officer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an officer not below the rank of a sub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inspector and shall obtain the written 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Commissioner-General of Excise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officer authorised by 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of Excise;”;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 (Amendment)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802" w:right="2516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and figure,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“under section 48” of the words and figure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48”;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2" w:right="1152" w:hanging="3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the substitution for the words, “on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behalf.” of the words “on that behalf; or”;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94" w:after="0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following:-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under section 50, except on his own knowledge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suspicion or on the complaint or report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excise officer.”.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50"/>
        </w:trPr>
        <w:tc>
          <w:tcPr>
            <w:tcW w:type="dxa" w:w="43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 (Amendment)</w:t>
            </w:r>
          </w:p>
        </w:tc>
        <w:tc>
          <w:tcPr>
            <w:tcW w:type="dxa" w:w="19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