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413" w:lineRule="auto" w:before="366" w:after="0"/>
        <w:ind w:left="3312" w:right="316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Part II of July 12, 2019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SUPPLEMENT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15. 07. 2019)</w:t>
      </w:r>
    </w:p>
    <w:p>
      <w:pPr>
        <w:autoSpaceDN w:val="0"/>
        <w:autoSpaceDE w:val="0"/>
        <w:widowControl/>
        <w:spacing w:line="240" w:lineRule="auto" w:before="284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18" w:lineRule="auto" w:before="310" w:after="0"/>
        <w:ind w:left="2304" w:right="216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PRESCRIPTION (AMENDMENT)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BILL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20"/>
        </w:rPr>
        <w:t>to amend the Prescription Ordinance (Chapter 68)</w:t>
      </w:r>
    </w:p>
    <w:p>
      <w:pPr>
        <w:autoSpaceDN w:val="0"/>
        <w:autoSpaceDE w:val="0"/>
        <w:widowControl/>
        <w:spacing w:line="235" w:lineRule="auto" w:before="364" w:after="0"/>
        <w:ind w:left="168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Minister of  Justice and Prison Reforms</w:t>
      </w:r>
    </w:p>
    <w:p>
      <w:pPr>
        <w:autoSpaceDN w:val="0"/>
        <w:autoSpaceDE w:val="0"/>
        <w:widowControl/>
        <w:spacing w:line="238" w:lineRule="auto" w:before="444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44" w:val="left"/>
        </w:tabs>
        <w:autoSpaceDE w:val="0"/>
        <w:widowControl/>
        <w:spacing w:line="235" w:lineRule="auto" w:before="204" w:after="0"/>
        <w:ind w:left="145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416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34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35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02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2 :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This clause amends section 5 of the Prescription Ordinance (Chapter 68), and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legal effect of the section as amended is to make provisions so that an action for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recovery of any sum due upon any mortgage of any property or any bond for the payment </w:t>
      </w:r>
      <w:r>
        <w:rPr>
          <w:rFonts w:ascii="Times" w:hAnsi="Times" w:eastAsia="Times"/>
          <w:b w:val="0"/>
          <w:i w:val="0"/>
          <w:color w:val="221F1F"/>
          <w:sz w:val="16"/>
        </w:rPr>
        <w:t>of money shall be prescribed after ten years from the date of giving notice to the debtor.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Prescription  (Amendment)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4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63/2017</w:t>
      </w:r>
    </w:p>
    <w:p>
      <w:pPr>
        <w:autoSpaceDN w:val="0"/>
        <w:autoSpaceDE w:val="0"/>
        <w:widowControl/>
        <w:spacing w:line="238" w:lineRule="auto" w:before="294" w:after="0"/>
        <w:ind w:left="194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RESCRIPTION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RDINANCE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68)</w:t>
      </w:r>
    </w:p>
    <w:p>
      <w:pPr>
        <w:autoSpaceDN w:val="0"/>
        <w:autoSpaceDE w:val="0"/>
        <w:widowControl/>
        <w:spacing w:line="254" w:lineRule="auto" w:before="292" w:after="232"/>
        <w:ind w:left="1796" w:right="2304" w:firstLine="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 may be cited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Prescription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 title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(Amendment)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Act, No.    of 2019 and shall come into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date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operation.</w:t>
            </w:r>
          </w:p>
        </w:tc>
      </w:tr>
      <w:tr>
        <w:trPr>
          <w:trHeight w:hRule="exact" w:val="2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operation on such date as the Minister may appoint by Order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23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5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5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Prescription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Ordinance (Chapter 68)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hereby amended by the substitution for all the words from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5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Chapter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“within ten years from the expiration of such time,”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68.</w:t>
            </w:r>
          </w:p>
        </w:tc>
      </w:tr>
      <w:tr>
        <w:trPr>
          <w:trHeight w:hRule="exact" w:val="2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end of that section, of the words “within ten years from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8" w:after="19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date of giving notice to the debtor.”.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6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372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13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3.9999999999998" w:type="dxa"/>
      </w:tblPr>
      <w:tblGrid>
        <w:gridCol w:w="4510"/>
        <w:gridCol w:w="4510"/>
      </w:tblGrid>
      <w:tr>
        <w:trPr>
          <w:trHeight w:hRule="exact" w:val="9650"/>
        </w:trPr>
        <w:tc>
          <w:tcPr>
            <w:tcW w:type="dxa" w:w="106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18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Prescription  (Amendment)</w:t>
            </w:r>
          </w:p>
        </w:tc>
      </w:tr>
    </w:tbl>
    <w:p>
      <w:pPr>
        <w:autoSpaceDN w:val="0"/>
        <w:autoSpaceDE w:val="0"/>
        <w:widowControl/>
        <w:spacing w:line="235" w:lineRule="auto" w:before="30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