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27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July 12, 2019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15.07.2019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31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TRUST RECEIPTS (AMENDMENT)</w:t>
      </w:r>
    </w:p>
    <w:p>
      <w:pPr>
        <w:autoSpaceDN w:val="0"/>
        <w:autoSpaceDE w:val="0"/>
        <w:widowControl/>
        <w:spacing w:line="332" w:lineRule="exact" w:before="290" w:after="0"/>
        <w:ind w:left="0" w:right="43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364" w:after="0"/>
        <w:ind w:left="0" w:right="2212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Trust Receipts Ordinance (Chapter 86)</w:t>
      </w:r>
    </w:p>
    <w:p>
      <w:pPr>
        <w:autoSpaceDN w:val="0"/>
        <w:autoSpaceDE w:val="0"/>
        <w:widowControl/>
        <w:spacing w:line="244" w:lineRule="exact" w:before="37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Justice  and Prison Reforms</w:t>
      </w:r>
    </w:p>
    <w:p>
      <w:pPr>
        <w:autoSpaceDN w:val="0"/>
        <w:autoSpaceDE w:val="0"/>
        <w:widowControl/>
        <w:spacing w:line="235" w:lineRule="auto" w:before="45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9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Trust Receipts Ordinance (Chapter 86),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section as amended is to provide for the legal consequences of trust receipts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under the Secured Transactions Act, No.   of 2019, but not under the Registration of </w:t>
      </w:r>
      <w:r>
        <w:rPr>
          <w:rFonts w:ascii="Times" w:hAnsi="Times" w:eastAsia="Times"/>
          <w:b w:val="0"/>
          <w:i w:val="0"/>
          <w:color w:val="221F1F"/>
          <w:sz w:val="16"/>
        </w:rPr>
        <w:t>Documents Ordinance.</w:t>
      </w:r>
    </w:p>
    <w:p>
      <w:pPr>
        <w:autoSpaceDN w:val="0"/>
        <w:autoSpaceDE w:val="0"/>
        <w:widowControl/>
        <w:spacing w:line="257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makes provisions in regard to the period of enforceability of trust receipts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already registered under the Registration of Documents Ordinance and the requirement of registering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those trust receipts under the Secured Transactions Act, No.    of 2019 upon coming into operation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said Act in order for them to be further enforceable and for their priority to continue to </w:t>
      </w:r>
      <w:r>
        <w:rPr>
          <w:rFonts w:ascii="Times" w:hAnsi="Times" w:eastAsia="Times"/>
          <w:b w:val="0"/>
          <w:i w:val="0"/>
          <w:color w:val="221F1F"/>
          <w:sz w:val="16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Trust Receipts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64/2017</w:t>
      </w:r>
    </w:p>
    <w:p>
      <w:pPr>
        <w:autoSpaceDN w:val="0"/>
        <w:autoSpaceDE w:val="0"/>
        <w:widowControl/>
        <w:spacing w:line="235" w:lineRule="auto" w:before="308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ECEIPTS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86)</w:t>
      </w:r>
    </w:p>
    <w:p>
      <w:pPr>
        <w:autoSpaceDN w:val="0"/>
        <w:autoSpaceDE w:val="0"/>
        <w:widowControl/>
        <w:spacing w:line="238" w:lineRule="auto" w:before="30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 it enacted by the Parliament of the Democratic Socialist</w:t>
      </w:r>
    </w:p>
    <w:p>
      <w:pPr>
        <w:autoSpaceDN w:val="0"/>
        <w:autoSpaceDE w:val="0"/>
        <w:widowControl/>
        <w:spacing w:line="235" w:lineRule="auto" w:before="4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Trust Receipts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of 2019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Trust Receipts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86) is hereby amended in subsection (1)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by the substitution for the words “registered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86.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Registration of Documents Ordinance as a bill of sale”,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words and figures “registered under the Secured</w:t>
      </w:r>
    </w:p>
    <w:p>
      <w:pPr>
        <w:autoSpaceDN w:val="0"/>
        <w:autoSpaceDE w:val="0"/>
        <w:widowControl/>
        <w:spacing w:line="235" w:lineRule="auto" w:before="4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Transactions Act, No.     of 2019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on the date of coming into operation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a trust receipt which has been registered under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trust receipts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Documents Ordinance as a bill of sale is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force, such trust receipt shall, for a period of two years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coming into operation of this Act, continue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enforceable, but shall be required to be registered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provisions of the Secured Transactions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of 2019 as a bill of sale, prior to the expiration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two years period.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bill of sale referred to in subsection (1)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being registered under the Secured Transactions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     of 2019, be deemed to have been perfected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such bill of sale initially became legally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enforceble, and any priority which such bill of sale became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at the time it initially became legally enforceable,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Trust Receipts (Amendment)</w:t>
      </w:r>
    </w:p>
    <w:p>
      <w:pPr>
        <w:autoSpaceDN w:val="0"/>
        <w:autoSpaceDE w:val="0"/>
        <w:widowControl/>
        <w:spacing w:line="262" w:lineRule="auto" w:before="494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bill of sale referred to in subsection (1) which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Secured Transactions Act, No.    of 2019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expiration of two years from the date of coming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of this Act, shall  become legally unenforceable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expiration of such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Trust Receipts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