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July 19, 2019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23.07.2019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4" w:after="0"/>
        <w:ind w:left="0" w:right="278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COMPANIES (AMENDMENT)</w:t>
      </w:r>
    </w:p>
    <w:p>
      <w:pPr>
        <w:autoSpaceDN w:val="0"/>
        <w:autoSpaceDE w:val="0"/>
        <w:widowControl/>
        <w:spacing w:line="238" w:lineRule="auto" w:before="28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5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48" w:after="0"/>
        <w:ind w:left="0" w:right="258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Companies Act, No. 07 of 2007</w:t>
      </w:r>
    </w:p>
    <w:p>
      <w:pPr>
        <w:autoSpaceDN w:val="0"/>
        <w:autoSpaceDE w:val="0"/>
        <w:widowControl/>
        <w:spacing w:line="247" w:lineRule="auto" w:before="336" w:after="0"/>
        <w:ind w:left="1584" w:right="129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Industry and Commerce,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Resettlement of Protracted Displaced Persons, Co-operative Development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and Vocational Training and Skills Development</w:t>
      </w:r>
    </w:p>
    <w:p>
      <w:pPr>
        <w:autoSpaceDN w:val="0"/>
        <w:autoSpaceDE w:val="0"/>
        <w:widowControl/>
        <w:spacing w:line="245" w:lineRule="auto" w:before="39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4" w:val="left"/>
        </w:tabs>
        <w:autoSpaceDE w:val="0"/>
        <w:widowControl/>
        <w:spacing w:line="235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5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5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14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427 of the Companies Act, No. 07 of 2007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enactment”),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amended is to make floating charges granted by a company subjected to the provisions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Secured Transactions Act, No.   of 2019, as consequential to the enactment of the said Act </w:t>
      </w:r>
      <w:r>
        <w:rPr>
          <w:rFonts w:ascii="Times" w:hAnsi="Times" w:eastAsia="Times"/>
          <w:b w:val="0"/>
          <w:i w:val="0"/>
          <w:color w:val="221F1F"/>
          <w:sz w:val="16"/>
        </w:rPr>
        <w:t>to make provisions applicable to secured transactions in movable property.</w:t>
      </w:r>
    </w:p>
    <w:p>
      <w:pPr>
        <w:autoSpaceDN w:val="0"/>
        <w:autoSpaceDE w:val="0"/>
        <w:widowControl/>
        <w:spacing w:line="252" w:lineRule="auto" w:before="214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428 of the principal enactment,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make provisions for the registration of any instrument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creating a floating charge over any movable property under the Secured Transactions Act, </w:t>
      </w:r>
      <w:r>
        <w:rPr>
          <w:rFonts w:ascii="Times" w:hAnsi="Times" w:eastAsia="Times"/>
          <w:b w:val="0"/>
          <w:i w:val="0"/>
          <w:color w:val="221F1F"/>
          <w:sz w:val="16"/>
        </w:rPr>
        <w:t>No.   of 2019.</w:t>
      </w:r>
    </w:p>
    <w:p>
      <w:pPr>
        <w:autoSpaceDN w:val="0"/>
        <w:autoSpaceDE w:val="0"/>
        <w:widowControl/>
        <w:spacing w:line="252" w:lineRule="auto" w:before="216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431 of the principal enactment,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make the provisions of the Secured Transactions Act, No.  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2019 applicable when determining the priority of floating charges created over any movable </w:t>
      </w:r>
      <w:r>
        <w:rPr>
          <w:rFonts w:ascii="Times" w:hAnsi="Times" w:eastAsia="Times"/>
          <w:b w:val="0"/>
          <w:i w:val="0"/>
          <w:color w:val="221F1F"/>
          <w:sz w:val="16"/>
        </w:rPr>
        <w:t>property.</w:t>
      </w:r>
    </w:p>
    <w:p>
      <w:pPr>
        <w:autoSpaceDN w:val="0"/>
        <w:autoSpaceDE w:val="0"/>
        <w:widowControl/>
        <w:spacing w:line="252" w:lineRule="auto" w:before="214" w:after="0"/>
        <w:ind w:left="1344" w:right="1436" w:firstLine="23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inserts the new section 433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to provide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an interpretation of the term “floating charge” for the purposes of the application of the </w:t>
      </w:r>
      <w:r>
        <w:rPr>
          <w:rFonts w:ascii="Times" w:hAnsi="Times" w:eastAsia="Times"/>
          <w:b w:val="0"/>
          <w:i w:val="0"/>
          <w:color w:val="221F1F"/>
          <w:sz w:val="16"/>
        </w:rPr>
        <w:t>Secured Transactions Act, No.   of 2019.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5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68/2017</w:t>
      </w:r>
    </w:p>
    <w:p>
      <w:pPr>
        <w:autoSpaceDN w:val="0"/>
        <w:autoSpaceDE w:val="0"/>
        <w:widowControl/>
        <w:spacing w:line="238" w:lineRule="auto" w:before="340" w:after="0"/>
        <w:ind w:left="21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OMPANIES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07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2007</w:t>
      </w:r>
    </w:p>
    <w:p>
      <w:pPr>
        <w:autoSpaceDN w:val="0"/>
        <w:autoSpaceDE w:val="0"/>
        <w:widowControl/>
        <w:spacing w:line="266" w:lineRule="auto" w:before="340" w:after="2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Companies (Amendment)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   of 2019 and shall come into operation on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as the Minister may appoint by Order published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28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427 of the Companies Act, No. 07 of 2007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427 of Act,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(3) of that section,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07 of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and figures “the provisions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2007.</w:t>
            </w:r>
          </w:p>
        </w:tc>
      </w:tr>
    </w:tbl>
    <w:p>
      <w:pPr>
        <w:autoSpaceDN w:val="0"/>
        <w:autoSpaceDE w:val="0"/>
        <w:widowControl/>
        <w:spacing w:line="276" w:lineRule="auto" w:before="28" w:after="27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Registration of Documents Ordinance (Cap. 117)”,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and figures “the provisions of the Secured </w:t>
      </w:r>
      <w:r>
        <w:rPr>
          <w:rFonts w:ascii="Times" w:hAnsi="Times" w:eastAsia="Times"/>
          <w:b w:val="0"/>
          <w:i w:val="0"/>
          <w:color w:val="221F1F"/>
          <w:sz w:val="20"/>
        </w:rPr>
        <w:t>Transactions Act, No.    of 2019”.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428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428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(3) of that section, by the substitution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76" w:lineRule="auto" w:before="2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all the words and figures from “registered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Registration of Documents Ordinance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(Cap. 117)” to the end of that subsection, of the</w:t>
      </w:r>
    </w:p>
    <w:p>
      <w:pPr>
        <w:autoSpaceDN w:val="0"/>
        <w:tabs>
          <w:tab w:pos="2518" w:val="left"/>
        </w:tabs>
        <w:autoSpaceDE w:val="0"/>
        <w:widowControl/>
        <w:spacing w:line="281" w:lineRule="auto" w:before="5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and figures “registered under the Secured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Transactions Act, No.    of 2019 and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that Act shall apply in regard to such floating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charge.”; and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338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subsection (4) of that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431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431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addition immediately after subsection (6)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section, of the following new subsection:—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tabs>
          <w:tab w:pos="2422" w:val="left"/>
          <w:tab w:pos="2662" w:val="left"/>
        </w:tabs>
        <w:autoSpaceDE w:val="0"/>
        <w:widowControl/>
        <w:spacing w:line="259" w:lineRule="auto" w:before="32" w:after="21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“(7)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movable property owned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is subject to a floating charge which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under the Secured Transactions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   of 2019, the provisions relating to priority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that Act shall apply in determining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priority of such floating charge.”.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433 of the principal enactment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433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tabs>
          <w:tab w:pos="1704" w:val="left"/>
          <w:tab w:pos="2782" w:val="left"/>
          <w:tab w:pos="3022" w:val="left"/>
        </w:tabs>
        <w:autoSpaceDE w:val="0"/>
        <w:widowControl/>
        <w:spacing w:line="262" w:lineRule="auto" w:before="32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“Interpretation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433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. In this Part of this Act, the term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“floating charge” means, a “security right”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the application of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Secured Transactions Act, No.    of 2019.”.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6" w:after="0"/>
              <w:ind w:left="6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  <w:tr>
        <w:trPr>
          <w:trHeight w:hRule="exact" w:val="5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56"/>
        </w:trPr>
        <w:tc>
          <w:tcPr>
            <w:tcW w:type="dxa" w:w="4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2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Companies (Amendment)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9132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