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August 02, 2019</w:t>
      </w:r>
    </w:p>
    <w:p>
      <w:pPr>
        <w:autoSpaceDN w:val="0"/>
        <w:autoSpaceDE w:val="0"/>
        <w:widowControl/>
        <w:spacing w:line="238" w:lineRule="auto" w:before="2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7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05.08.2019)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62" w:after="0"/>
        <w:ind w:left="2304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RUHUNU ECONOMIC DEVELOPMENT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CORPORATION OF SRI LANKA</w:t>
      </w:r>
    </w:p>
    <w:p>
      <w:pPr>
        <w:autoSpaceDN w:val="0"/>
        <w:autoSpaceDE w:val="0"/>
        <w:widowControl/>
        <w:spacing w:line="238" w:lineRule="auto" w:before="9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2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172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establishment of the Ruhunu Economic Development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Corporation of Sri Lanka for the purpose of identifying, formulating and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co-ordinating the implementation of Economic Development Projects,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Plans, Programmes or Schemes within the Ruhunu Development Area and </w:t>
      </w:r>
      <w:r>
        <w:rPr>
          <w:rFonts w:ascii="Times,Bold" w:hAnsi="Times,Bold" w:eastAsia="Times,Bold"/>
          <w:b/>
          <w:i w:val="0"/>
          <w:color w:val="221F1F"/>
          <w:sz w:val="20"/>
        </w:rPr>
        <w:t>for matters connected therewith or incidental thereto</w:t>
      </w:r>
    </w:p>
    <w:p>
      <w:pPr>
        <w:autoSpaceDN w:val="0"/>
        <w:autoSpaceDE w:val="0"/>
        <w:widowControl/>
        <w:spacing w:line="245" w:lineRule="auto" w:before="164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Ports and Shipping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Southern Development</w:t>
      </w:r>
    </w:p>
    <w:p>
      <w:pPr>
        <w:autoSpaceDN w:val="0"/>
        <w:autoSpaceDE w:val="0"/>
        <w:widowControl/>
        <w:spacing w:line="245" w:lineRule="auto" w:before="14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52" w:after="0"/>
        <w:ind w:left="14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Ruhunu Economic Development Corporation of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8" w:lineRule="auto" w:before="28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63/2018</w:t>
      </w:r>
    </w:p>
    <w:p>
      <w:pPr>
        <w:autoSpaceDN w:val="0"/>
        <w:autoSpaceDE w:val="0"/>
        <w:widowControl/>
        <w:spacing w:line="271" w:lineRule="auto" w:before="304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UHUNU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CONOMIC </w:t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ORPORATION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4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FORMULATING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CO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  <w:r>
        <w:rPr>
          <w:rFonts w:ascii="Times" w:hAnsi="Times" w:eastAsia="Times"/>
          <w:b w:val="0"/>
          <w:i w:val="0"/>
          <w:color w:val="221F1F"/>
          <w:sz w:val="14"/>
        </w:rPr>
        <w:t>ORDINATING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IMPLEMENTATION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ROJECTS</w:t>
      </w:r>
      <w:r>
        <w:rPr>
          <w:rFonts w:ascii="Times" w:hAnsi="Times" w:eastAsia="Times"/>
          <w:b w:val="0"/>
          <w:i w:val="0"/>
          <w:color w:val="221F1F"/>
          <w:sz w:val="20"/>
        </w:rPr>
        <w:t>, P</w:t>
      </w:r>
      <w:r>
        <w:rPr>
          <w:rFonts w:ascii="Times" w:hAnsi="Times" w:eastAsia="Times"/>
          <w:b w:val="0"/>
          <w:i w:val="0"/>
          <w:color w:val="221F1F"/>
          <w:sz w:val="14"/>
        </w:rPr>
        <w:t>LANS</w:t>
      </w:r>
      <w:r>
        <w:rPr>
          <w:rFonts w:ascii="Times" w:hAnsi="Times" w:eastAsia="Times"/>
          <w:b w:val="0"/>
          <w:i w:val="0"/>
          <w:color w:val="221F1F"/>
          <w:sz w:val="20"/>
        </w:rPr>
        <w:t>, P</w:t>
      </w:r>
      <w:r>
        <w:rPr>
          <w:rFonts w:ascii="Times" w:hAnsi="Times" w:eastAsia="Times"/>
          <w:b w:val="0"/>
          <w:i w:val="0"/>
          <w:color w:val="221F1F"/>
          <w:sz w:val="14"/>
        </w:rPr>
        <w:t>ROGRAMMES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CHEMES</w:t>
      </w:r>
      <w:r>
        <w:rPr>
          <w:rFonts w:ascii="Times" w:hAnsi="Times" w:eastAsia="Times"/>
          <w:b w:val="0"/>
          <w:i w:val="0"/>
          <w:color w:val="221F1F"/>
          <w:sz w:val="14"/>
        </w:rPr>
        <w:t>WITHIN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UHUNU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REA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30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it has become necessary to lay down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6" w:val="left"/>
        </w:tabs>
        <w:autoSpaceDE w:val="0"/>
        <w:widowControl/>
        <w:spacing w:line="269" w:lineRule="auto" w:before="4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on Ruhunu Economic Development to encourage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rapid economic development specifically trade, exports,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technology, tourism and modern agriculture employment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opportunities to secure a sustainable economic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Lanka;</w:t>
      </w:r>
    </w:p>
    <w:p>
      <w:pPr>
        <w:autoSpaceDN w:val="0"/>
        <w:autoSpaceDE w:val="0"/>
        <w:widowControl/>
        <w:spacing w:line="264" w:lineRule="auto" w:before="28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it has become a matter of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importance to establish a corporation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fostering the economic development:</w:t>
      </w:r>
    </w:p>
    <w:p>
      <w:pPr>
        <w:autoSpaceDN w:val="0"/>
        <w:tabs>
          <w:tab w:pos="1796" w:val="left"/>
        </w:tabs>
        <w:autoSpaceDE w:val="0"/>
        <w:widowControl/>
        <w:spacing w:line="271" w:lineRule="auto" w:before="252" w:after="22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enacted by the Parliament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Ruhunu Economic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 Corporation of Sri Lanka Act, No.          of 2019.</w:t>
      </w:r>
    </w:p>
    <w:p>
      <w:pPr>
        <w:autoSpaceDN w:val="0"/>
        <w:autoSpaceDE w:val="0"/>
        <w:widowControl/>
        <w:spacing w:line="238" w:lineRule="auto" w:before="306" w:after="0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p>
      <w:pPr>
        <w:autoSpaceDN w:val="0"/>
        <w:tabs>
          <w:tab w:pos="2164" w:val="left"/>
          <w:tab w:pos="3202" w:val="left"/>
        </w:tabs>
        <w:autoSpaceDE w:val="0"/>
        <w:widowControl/>
        <w:spacing w:line="257" w:lineRule="auto" w:before="276" w:after="220"/>
        <w:ind w:left="14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UHUNU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ORPORATION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 corporation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called and known as the Ruhunu Economic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Ruhunu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Corporation of Sri Lanka (hereinafter referred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“Corporation”).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698" w:val="left"/>
        </w:tabs>
        <w:autoSpaceDE w:val="0"/>
        <w:widowControl/>
        <w:spacing w:line="254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0" w:lineRule="auto" w:before="234" w:after="20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shall, by the name assigned to it,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be a body corporate, with perpetual succession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a common seal and may sue and be sued in 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Corporation shall be to-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1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internationally focused competitive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market driven and rapid sustainable 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4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development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within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Area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implementing the economic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projects, plans, programmes or schemes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formulated under section 18;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 a strategic logistic hub with a port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0" w:right="49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an airport;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designate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41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zones;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local and foreign investments in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206"/>
        <w:ind w:left="0" w:right="26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designated economic development zones.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the Constitution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written law, the powers, functions and duties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Corporation shall be to- 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formulate a mechanism to stimulate, expand,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6" w:after="19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 and strengthen the economic base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by giving effect to economic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projects, plans, programmes or schemes formulated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infrastructure facilities for designated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2" w:lineRule="auto" w:before="1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development zones  including roads,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water supply, housing and such other facilities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amenities as required by any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projects, plans, programmes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schemes formulated under section 18;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2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2" w:after="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detailed studies of the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projects, plans, programmes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schemes and identify the economic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projects, plans, programmes or schemes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overall development plan for the designated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economic development zones, on priority basis;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4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accept grants, gifts or donations from persons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bodies of persons, in or 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 and enhance the co-operation between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inter-agencies of every ministry, department,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council, provincial ministry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and local authority and other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body of persons whether private or public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carrying out studies and implementation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development projects, plans, programmes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schemes;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 the economic development projects,</w:t>
            </w:r>
          </w:p>
        </w:tc>
      </w:tr>
    </w:tbl>
    <w:p>
      <w:pPr>
        <w:autoSpaceDN w:val="0"/>
        <w:autoSpaceDE w:val="0"/>
        <w:widowControl/>
        <w:spacing w:line="245" w:lineRule="auto" w:before="0" w:after="16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plans, programmes or schemes in the designated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economic development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secure the participation of foreign and local private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agencies in carrying out detailed studies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economic development projects,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plans, programmes or schemes in the designated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economic development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 the designated economic development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9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zones;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04" w:after="2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any office or stores outside the designated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development zones and execute outside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designated economic development zones any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work as may be necessary;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 the activities undertaken by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 to the public 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10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secure and obtain technical and financial assistance;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Ruhunu Economic Development Corporation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1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secure local and foreign collaboration for carrying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studies and implementation of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projects, plans, programmes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schemes in the Area;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 ministry, department, provincial council,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ministry and department and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and other persons or body of persons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concurrence of the Minister to take over,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maintain and operate any economic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projects, plans, programmes or schemes;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 divisions as may be necessary of the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</w:t>
            </w:r>
          </w:p>
        </w:tc>
      </w:tr>
      <w:tr>
        <w:trPr>
          <w:trHeight w:hRule="exact" w:val="34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 out research relating to the economic and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development of the Area;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to prepare an environmental impact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assessment report in respect of any economic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projects, plans, programmes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schemes within the Area;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assistance to facilitate the designated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development zone developers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enterprises within a zone by establishing a one stop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 to channel all their applications for permits,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approvals, licenses and facilities for all clearances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for the establishment and operation, and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with government or private entities as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necessary;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to the Minister on policy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matters on all aspects of designation, approval,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establishment, operation and regulation of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designated economic development zones including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individual enterprises within the Area; 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local and foreign investment thereby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enhancing the employment opportunities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designated economic development zones;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2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2" w:after="4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 shares in a public-private partnership entity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for the purpose of developing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managing the designated economic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 or any other purpose approved by the Cabinet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Ministers;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 or levy a charge for the services rendered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 within the designated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utilization of any financial assistance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rendered by the Corporation to any person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an economic development project,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plan, programme or scheme;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purchase, acquire, erect, maintain, reconstruct or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adapt any offices, plants, machinery or other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 necessary for the implementation of any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development projects, plans, programmes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schemes;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0" w:after="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 in any manner whatsoever and hold, take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give on lease or hire, mortgage, pledge, sell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 dispose of, any immovable property; and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 all such other acts as may be incidental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to the attainment of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autoSpaceDE w:val="0"/>
        <w:widowControl/>
        <w:spacing w:line="238" w:lineRule="auto" w:before="240" w:after="0"/>
        <w:ind w:left="0" w:right="44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</w:t>
      </w:r>
    </w:p>
    <w:p>
      <w:pPr>
        <w:autoSpaceDN w:val="0"/>
        <w:tabs>
          <w:tab w:pos="2122" w:val="left"/>
          <w:tab w:pos="3710" w:val="left"/>
        </w:tabs>
        <w:autoSpaceDE w:val="0"/>
        <w:widowControl/>
        <w:spacing w:line="250" w:lineRule="auto" w:before="222" w:after="182"/>
        <w:ind w:left="144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FFAIRS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ORPORATOIN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administration and management of the affairs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Administration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shall be vested in a Board of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“Board”).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Board shall, for the purpose of administering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affairs of the Corporation, exercise, discharge and perform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698" w:val="left"/>
        </w:tabs>
        <w:autoSpaceDE w:val="0"/>
        <w:widowControl/>
        <w:spacing w:line="254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4" w:after="17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powers, functions and duties conferred or assigned to or </w:t>
      </w:r>
      <w:r>
        <w:rPr>
          <w:rFonts w:ascii="Times" w:hAnsi="Times" w:eastAsia="Times"/>
          <w:b w:val="0"/>
          <w:i w:val="0"/>
          <w:color w:val="221F1F"/>
          <w:sz w:val="20"/>
        </w:rPr>
        <w:t>imposed on the Corporation by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consist of-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 Board.</w:t>
            </w:r>
          </w:p>
        </w:tc>
      </w:tr>
      <w:tr>
        <w:trPr>
          <w:trHeight w:hRule="exact" w:val="48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members, namely-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204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or his representative being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not below the rank of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</w:t>
            </w:r>
          </w:p>
        </w:tc>
      </w:tr>
    </w:tbl>
    <w:p>
      <w:pPr>
        <w:autoSpaceDN w:val="0"/>
        <w:autoSpaceDE w:val="0"/>
        <w:widowControl/>
        <w:spacing w:line="252" w:lineRule="auto" w:before="2" w:after="192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Southern Development or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being an officer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below the rank of Additional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Chairman of the Sri Lanka Ports</w:t>
            </w:r>
          </w:p>
        </w:tc>
      </w:tr>
    </w:tbl>
    <w:p>
      <w:pPr>
        <w:autoSpaceDN w:val="0"/>
        <w:tabs>
          <w:tab w:pos="3384" w:val="left"/>
        </w:tabs>
        <w:autoSpaceDE w:val="0"/>
        <w:widowControl/>
        <w:spacing w:line="254" w:lineRule="auto" w:before="1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established under section 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Sri Lanka Ports Authority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51 of 1979 or a Director nominated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him among the Directors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5 (1)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the above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 and</w:t>
      </w:r>
    </w:p>
    <w:p>
      <w:pPr>
        <w:autoSpaceDN w:val="0"/>
        <w:tabs>
          <w:tab w:pos="3384" w:val="left"/>
        </w:tabs>
        <w:autoSpaceDE w:val="0"/>
        <w:widowControl/>
        <w:spacing w:line="250" w:lineRule="auto" w:before="264" w:after="10"/>
        <w:ind w:left="29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 of the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of Sri Lanka established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6 of the Board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Investment Law, No. 4 of 1978; 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members appointed by the Minister</w:t>
            </w:r>
          </w:p>
        </w:tc>
      </w:tr>
    </w:tbl>
    <w:p>
      <w:pPr>
        <w:autoSpaceDN w:val="0"/>
        <w:tabs>
          <w:tab w:pos="2904" w:val="left"/>
        </w:tabs>
        <w:autoSpaceDE w:val="0"/>
        <w:widowControl/>
        <w:spacing w:line="252" w:lineRule="auto" w:before="8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possess academic or professional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and have experience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fields of economics, finance, management,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administration, or law (hereinafter referred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“appointed members”).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2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8" w:lineRule="auto" w:before="24" w:after="166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shall appoint one of the appointed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" w:after="0"/>
              <w:ind w:left="0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Chairperson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 Board.</w:t>
            </w:r>
          </w:p>
        </w:tc>
      </w:tr>
      <w:tr>
        <w:trPr>
          <w:trHeight w:hRule="exact" w:val="29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 to be the Chairperson of the Board. 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2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Chairperson may resign from his office by letter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addressed to the Minister and such resignation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effective from the date on which it is accepted by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Minister.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40" w:after="18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for reasons assigned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from the office of Chairperson.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Subject to the provisions of subsection (2) and (3),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 of office of the Chairperson shall be the period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his membership of the Board. </w:t>
      </w:r>
    </w:p>
    <w:p>
      <w:pPr>
        <w:autoSpaceDN w:val="0"/>
        <w:autoSpaceDE w:val="0"/>
        <w:widowControl/>
        <w:spacing w:line="245" w:lineRule="auto" w:before="242" w:after="4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>perform the duties of his office due to ill health,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infirmity, absence from Sri Lanka or any other cause,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may appoint any other appointed member to act as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in addition to his normal duties as an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be disqualified from being appointed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Board, if he-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being 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 a member of Parliament or of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Board.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Provincial Council or of any local authority;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4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or ceases to be a citizen of Sri Lanka; 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0" w:after="15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under any law in force in Sri Lanka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country found or declared to be of unsound mind;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who having been declared insolvent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bankrupt under any law in force in Sri Lanka and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undischarged insolvent or bankrupt;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serving or has served a sentence of imprisonment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imposed by any court in Sri Lanka or in any other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1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698" w:val="left"/>
        </w:tabs>
        <w:autoSpaceDE w:val="0"/>
        <w:widowControl/>
        <w:spacing w:line="254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34" w:after="20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or enjoys any right or benefit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made by or on behalf of the Corporation;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any financial or other interest as is likely to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prejudicially the discharge by him of his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0" w:right="36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functions as a member of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appointed member shall, unless he earlier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vacates office by resignation, death or removal, hold office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period of five years from the date of his appointment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such member other than a member who is removed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2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eligible for re-appointment.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appointed member may at any time resign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and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his office by a letter to that effect, addressed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Minister, and such resignation shall be effective from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on which it is accepted by the Minister in writing.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54" w:lineRule="auto" w:before="20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appointed member by reason of illness,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infirmity or absence from Sri Lanka is temporarily unable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discharge the functions of his office,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may, having regard to 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6, appoint some other person to act in his place.</w:t>
      </w:r>
    </w:p>
    <w:p>
      <w:pPr>
        <w:autoSpaceDN w:val="0"/>
        <w:tabs>
          <w:tab w:pos="1944" w:val="left"/>
        </w:tabs>
        <w:autoSpaceDE w:val="0"/>
        <w:widowControl/>
        <w:spacing w:line="247" w:lineRule="auto" w:before="256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for the reasons assigned, remove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member from office. 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66" w:after="20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 appointed member dies, resigns or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removed from office, the Minister may, having regard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6, appoint another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 his place and the person so appointed shall hold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for the unexpired period of the term of office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meetings of the Board shall be held at least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Quorum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once in every month and the quorum for a meeting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Board.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shall be four members.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494" w:val="left"/>
        </w:tabs>
        <w:autoSpaceDE w:val="0"/>
        <w:widowControl/>
        <w:spacing w:line="254" w:lineRule="auto" w:before="0" w:after="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7" w:lineRule="auto" w:before="24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shall preside at every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Board. In the absence of the Chairperson from any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 a member elected by the members present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 at such meeting. 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58" w:after="0"/>
        <w:ind w:left="15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questions for decision at any meeting of the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decided by the vote of the majority of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at such meeting. In the case of an equality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votes the Chairperson shall, in addition to his vote have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casting vote. 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54" w:after="222"/>
        <w:ind w:left="144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preceding provisions of this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may regulate the procedure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 of the Board and the transaction of business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may act notwithstanding any vacancy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 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its members and any act or proceeding of the Board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Board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be or deemed to be invalid by reason only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not</w:t>
            </w:r>
          </w:p>
        </w:tc>
      </w:tr>
      <w:tr>
        <w:trPr>
          <w:trHeight w:hRule="exact" w:val="22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existence of any vacancy among its members or any defect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invalid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appointment of a member thereof.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vacancy.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Board shall be paid remuneration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of the Fund of the Corporation in such manner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such rates as may be determined by the Minister,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concurrence of the Minister assigned the subject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22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Corporation shall be 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custody of such person as the Board may decide from time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time.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8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Corporation may be altered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as may be determined by the Board. 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8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Corporation shall not be affixed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instrument or document except with the sanction of the Board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698" w:val="left"/>
        </w:tabs>
        <w:autoSpaceDE w:val="0"/>
        <w:widowControl/>
        <w:spacing w:line="254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18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presence of the Chairperson and one other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 who shall sign the instrument or document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token of their presence: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where the Chairperson is unable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present at the time when seal of the Corporation is affixed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instrument or document, any other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authorized in writing by the Chairperson on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shall be competent to sign such instrument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in accordance with the preceding provision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subsection.</w:t>
      </w:r>
    </w:p>
    <w:p>
      <w:pPr>
        <w:autoSpaceDN w:val="0"/>
        <w:autoSpaceDE w:val="0"/>
        <w:widowControl/>
        <w:spacing w:line="245" w:lineRule="auto" w:before="23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Corporation shall maintain a register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has been affixed.</w:t>
      </w:r>
    </w:p>
    <w:p>
      <w:pPr>
        <w:autoSpaceDN w:val="0"/>
        <w:autoSpaceDE w:val="0"/>
        <w:widowControl/>
        <w:spacing w:line="238" w:lineRule="auto" w:before="240" w:after="18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UHUNU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EVELOPMENT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REA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339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Policy on Ruhunu Economic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within the Area shall strengthen the national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on</w:t>
            </w:r>
          </w:p>
        </w:tc>
      </w:tr>
      <w:tr>
        <w:trPr>
          <w:trHeight w:hRule="exact" w:val="6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Ruhunu</w:t>
            </w:r>
          </w:p>
        </w:tc>
      </w:tr>
      <w:tr>
        <w:trPr>
          <w:trHeight w:hRule="exact" w:val="1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base of Sri Lanka by among other things-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75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developing an international air sea logistic hub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Hambantota;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Area.</w:t>
            </w:r>
          </w:p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promoting globally competitive economic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44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activities within the Area;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16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increasing the backward linkage of the industries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services within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establishing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designating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zones as a catalyst for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growth;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42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creating employment; and 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44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developing a skilled workforce.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2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8" w:lineRule="auto" w:before="24" w:after="164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Ruhunu Economic Development Area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Ruhunu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consist of the Administrative Districts of Hambantota,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Moneragala, Matara and Galle (in this Act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Area.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“Area”).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Minister may establish and designate by Notice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land area within the Area as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Development Zone and such Notice shall specify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metes and bounds of the land area coming within each such </w:t>
      </w:r>
      <w:r>
        <w:rPr>
          <w:rFonts w:ascii="Times" w:hAnsi="Times" w:eastAsia="Times"/>
          <w:b w:val="0"/>
          <w:i w:val="0"/>
          <w:color w:val="221F1F"/>
          <w:sz w:val="20"/>
        </w:rPr>
        <w:t>zone. Such land area shall stand vested in the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26" w:after="0"/>
        <w:ind w:left="144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the publication of such Notice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(2), the Corporation shall be responsible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and supervision of such designated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zone in accordance with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16" w:after="0"/>
        <w:ind w:left="14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land within a designated economic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 may be alienated or leased to any person or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for the purpose of achieving the objects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and in accordance with any 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development projects, plans, programmes or schemes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18 of this Act.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74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Subject to any written law, the Corporation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undertake or approve the development, operation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and the financial assistance for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up to the perimeter of such designated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development zone.</w:t>
      </w:r>
    </w:p>
    <w:p>
      <w:pPr>
        <w:autoSpaceDN w:val="0"/>
        <w:autoSpaceDE w:val="0"/>
        <w:widowControl/>
        <w:spacing w:line="245" w:lineRule="auto" w:before="232" w:after="17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Economic Development Zone may be designated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single sector or multiple sector zone, and may include, </w:t>
      </w:r>
      <w:r>
        <w:rPr>
          <w:rFonts w:ascii="Times" w:hAnsi="Times" w:eastAsia="Times"/>
          <w:b w:val="0"/>
          <w:i w:val="0"/>
          <w:color w:val="221F1F"/>
          <w:sz w:val="20"/>
        </w:rPr>
        <w:t>but not limited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industries;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parks;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communication technology enterprises;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science and technology enterprises;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Ruhunu Economic Development Corporation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24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high technology agricultural enterprises;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16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tourist and recreational enterprises;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16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service enterprises; or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16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livestock enterprises.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10" w:after="2"/>
        <w:ind w:left="144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Subject to the provisions of the Constitution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the Minister may declare and designate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 land as a designated economic development zone.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 land within the designated economic development zone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be alienated for private use except to the developers,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operators or enterprises or any other body of persons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0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within the designated Economic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>Zone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any other written law,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 to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person shall carry on business as an economic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operate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zone developer, operator or enterprise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or maintain activities or facilities within a designated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Zone.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development zone except under authority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 issued by the Corporation in accordance with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4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regulations made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shall cause to formulate economic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Formulation</w:t>
            </w:r>
          </w:p>
        </w:tc>
      </w:tr>
      <w:tr>
        <w:trPr>
          <w:trHeight w:hRule="exact" w:val="1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projects, plans, programmes or schemes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economic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give effect to the National Policy on Ruhunu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projects,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Development.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plans,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Minister may forward the economic development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programmes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schemes.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projects, plans, programmes or schemes for the approval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Cabinet of Ministers.</w:t>
      </w:r>
    </w:p>
    <w:p>
      <w:pPr>
        <w:autoSpaceDN w:val="0"/>
        <w:autoSpaceDE w:val="0"/>
        <w:widowControl/>
        <w:spacing w:line="238" w:lineRule="auto" w:before="230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164" w:after="100"/>
        <w:ind w:left="18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HIEF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XECUTIVE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FFICER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shall, in consultation with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and having regard to the qualifications and scheme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Chief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Executive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recruitment specified under subsection (2), appoint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staff of the Corporation a Chief Executive Officer (in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referred to as the “CEO”).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0"/>
        <w:ind w:left="1798" w:right="242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shall, with the concurrence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qualifications and the scheme of recruitment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of CEO. 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45" w:lineRule="auto" w:before="254" w:after="0"/>
        <w:ind w:left="15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CEO shall, subject to the general directions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supervision of the Board:-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charged with the administration of the affairs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including the administration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 of the staff;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responsible for the execution of all decisions of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Board; and 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 out all such functions as may be assigned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him by the Board. 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CEO shall be entitled to be present and speak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meeting of the Board, but shall not be entitled to vote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meeting. </w:t>
      </w:r>
    </w:p>
    <w:p>
      <w:pPr>
        <w:autoSpaceDN w:val="0"/>
        <w:autoSpaceDE w:val="0"/>
        <w:widowControl/>
        <w:spacing w:line="245" w:lineRule="auto" w:before="248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CEO may with the approval of the Board delegate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to any officer of the Corporation, any of his powers </w:t>
      </w:r>
      <w:r>
        <w:rPr>
          <w:rFonts w:ascii="Times" w:hAnsi="Times" w:eastAsia="Times"/>
          <w:b w:val="0"/>
          <w:i w:val="0"/>
          <w:color w:val="221F1F"/>
          <w:sz w:val="20"/>
        </w:rPr>
        <w:t>or functions and the officer to whom any such power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 is delegated shall exercise or perform such power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function subject to the directions of the CEO. 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 The Board may remove the CEO from office, if he-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194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becomes permanently incapable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his duties;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had done any act which, in the opinion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Board, is of a fraudulent or illegal character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is prejudicial to the interests of the Board;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0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failed to comply with any directions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issued by the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698" w:val="left"/>
        </w:tabs>
        <w:autoSpaceDE w:val="0"/>
        <w:widowControl/>
        <w:spacing w:line="254" w:lineRule="auto" w:before="0" w:after="184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Subject to the provisions of this Act,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may appoint such employees as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efficient exercise and perform of its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functions. 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0" w:after="0"/>
        <w:ind w:left="14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 have the power, subject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Act to- 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4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and dismiss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employees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 the terms and conditions of service of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employees of the Corporation;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fix the rates at which such employees shall be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remunerated with the concurrence of the Minister.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234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employees of the Corporation shall, within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 of employment, declare in writing to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personal direct or indirect interest to the affairs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transactions of the Corporation including those of their 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relations or, concerns in which such employee has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substantial interest.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At the request of the Board any officer in the public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may, with the consent of that officer and the Public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Commission, be temporarily appointed to the staff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staff of</w:t>
            </w:r>
          </w:p>
        </w:tc>
      </w:tr>
      <w:tr>
        <w:trPr>
          <w:trHeight w:hRule="exact" w:val="22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for such period as may be determined 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or with like consent, be permanently appointed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staff.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64" w:lineRule="auto" w:before="290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Corporation,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mutandis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him.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60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officer in the public service is permanently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Corporation,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mutandis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him.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2" w:after="0"/>
        <w:ind w:left="14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Board employs any person who has agreed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serve the Government for a specified period under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agreement, any period of service to the Corporation by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shall be regarded as service to the Government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discharging the obligations of such agreement.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64" w:after="0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At the request of the Board, any  member of the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Service or any other officer or servant of a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may, with the consent of such member, officer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 and the Local Government Service Commission,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local authority, as the case may be, be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Corporation for such period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Board with like consent or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permanently appointed to such staff on such terms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including those relating to pension or provident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rights as may be agreed upon by the Board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Government Service Commission or that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any member of the Local Government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officer or servant of any local authority is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under subsection (5) to the staff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he shall be subject to the same disciplinary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 as any other member of such staff.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At the request of the Board, any officer or servant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public corporation may, with the consent of such officer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officers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servants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servant and the governing board of such corporation,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public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temporarily appointed to the staff of the Corporation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period as may be determined by the Board with like </w:t>
      </w:r>
      <w:r>
        <w:rPr>
          <w:rFonts w:ascii="Times" w:hAnsi="Times" w:eastAsia="Times"/>
          <w:b w:val="0"/>
          <w:i w:val="0"/>
          <w:color w:val="221F1F"/>
          <w:sz w:val="20"/>
        </w:rPr>
        <w:t>consent or with like consent be permanently appointed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70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2" w:lineRule="auto" w:before="25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staff of the Corporation on such terms and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those relating to pension or provident fund rights,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agreed upon by the Board and the governing </w:t>
      </w:r>
      <w:r>
        <w:rPr>
          <w:rFonts w:ascii="Times" w:hAnsi="Times" w:eastAsia="Times"/>
          <w:b w:val="0"/>
          <w:i w:val="0"/>
          <w:color w:val="221F1F"/>
          <w:sz w:val="20"/>
        </w:rPr>
        <w:t>board of such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4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is appointed whether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permanently under subsection (1) to the staff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he shall be subject to the same disciplinary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 as any other member of the staff.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this section “governing board”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a public corporation means the Board of Directors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body in which the administration and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that public corporation has been vested.</w:t>
      </w:r>
    </w:p>
    <w:p>
      <w:pPr>
        <w:autoSpaceDN w:val="0"/>
        <w:autoSpaceDE w:val="0"/>
        <w:widowControl/>
        <w:spacing w:line="238" w:lineRule="auto" w:before="264" w:after="0"/>
        <w:ind w:left="0" w:right="4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V</w:t>
      </w:r>
    </w:p>
    <w:p>
      <w:pPr>
        <w:autoSpaceDN w:val="0"/>
        <w:autoSpaceDE w:val="0"/>
        <w:widowControl/>
        <w:spacing w:line="238" w:lineRule="auto" w:before="264" w:after="204"/>
        <w:ind w:left="0" w:right="47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credited to the Fund of the Corporation–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as may be voted from time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25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time by Parliament for the use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as may be received by 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by way of loans, donations, gifts 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grants from any sources whatsoever, whether in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outside Sri Lanka; and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sums of money received by the Corporation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services rendered by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required to defray expenditures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the Corporation in the exercise, performance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of its powers, functions and duties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22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the Constitution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funds.</w:t>
            </w:r>
          </w:p>
        </w:tc>
      </w:tr>
      <w:tr>
        <w:trPr>
          <w:trHeight w:hRule="exact" w:val="27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any written law, the Corporation may for the purpose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69" w:lineRule="auto" w:before="2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exercising, performing, discharging any of its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allocate funds to any department,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council, provincial ministry and department,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or public corporation with the prior approval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Minister.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0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such department, provincial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provincial ministry and department, local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public corporation to exercise, perform or discharge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functions and duties and submit account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expenditure incurred in that regard.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4" w:lineRule="auto" w:before="306" w:after="246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Corporation shall be entitled to require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department, provincial council, provincial ministry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department, local authority or public corporation to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funds have been allocated under subsection (1), to furnish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information as may be required by the Corporation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the expenditure of such funds and it shall be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duty of such department, provincial council, provincial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and department, local authority or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to comply with such requirement.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Article 154 of the Constitution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accounts.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the auditing of accounts shall apply in relation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audit of accounts of the Corporation.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306" w:after="0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Corporation shall have with the approval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the power to make rules relating to the withdrawal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moneys from the Fund and no sum shall be withdrawn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the Fund except in accordance with such rules.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70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256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66" w:after="206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any land or any interest in any land within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Acquisition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Area is required by the Corporation for any of its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land 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interest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purposes, and the Minister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thereon.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approves the proposed acquisition, the land or interest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land shall be deemed to be required for a public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may accordingly be acquired under the Land Acquisition </w:t>
      </w:r>
      <w:r>
        <w:rPr>
          <w:rFonts w:ascii="Times" w:hAnsi="Times" w:eastAsia="Times"/>
          <w:b w:val="0"/>
          <w:i w:val="0"/>
          <w:color w:val="221F1F"/>
          <w:sz w:val="20"/>
        </w:rPr>
        <w:t>Act and be transferred to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land or interest thereon required for the purpose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establishing an economic development zone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 shall be deemed to be a public purpose.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1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any case where any land or any interest in any 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Area is to be acquired under the Land Acquisition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for any purpose of the Corporation and public notice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intention to acquire such land or interest thereon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 required by  that Act at  any time within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 of three  years  from  the  date of  commencement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Act, the following provisions shall  apply for the purpose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determining the  amount  of  compensation  to be paid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that  land  or  interest thereon  notwithstanding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anything to the contrary in that Act-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64" w:after="20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market value of the land shall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market value the land would have had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such Order, if it then   was   in   the   same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as it is at the time of acquisition, increased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reasonable amount on account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bona fide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improvements. if any, effected to such land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date;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ascertaining the market value of the land at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such Order, no account shall be taken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benefit or increase in value which may have accrued,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2" w:lineRule="auto" w:before="246" w:after="20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expectation of benefit or increase in value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likely to accrue directly or indirectly, from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 of development or other operation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 in pursuance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lands situated in the Area and vested 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Lands to be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of Investment of Sri Lanka established under the Board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vested in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Investment of Sri Lanka Law, No. 4 of 1978 on the date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shall stand vested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from the date of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Board of Investment of Sri Lanka shall take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measures to transfer such land to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Constitution and written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all goods of any description imported or purchased out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custom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&amp; etc.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bond by the Corporation shall be exempted from customs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duty, if the Minister in consultation with the Minister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 approves of such exemption.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Government may guarantee on such terms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Loans raised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conditions as it may determine, the loans raised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from any local, international or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 approved by the Minister. The loans authorized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guaranteed under this subsection may be denominated </w:t>
      </w:r>
      <w:r>
        <w:rPr>
          <w:rFonts w:ascii="Times" w:hAnsi="Times" w:eastAsia="Times"/>
          <w:b w:val="0"/>
          <w:i w:val="0"/>
          <w:color w:val="221F1F"/>
          <w:sz w:val="20"/>
        </w:rPr>
        <w:t>in foreign currency.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6" w:after="0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such sums payable by the Government under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guarantee given under subsection (1), shall be charged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Consolidated Fund.</w:t>
      </w:r>
    </w:p>
    <w:p>
      <w:pPr>
        <w:autoSpaceDN w:val="0"/>
        <w:autoSpaceDE w:val="0"/>
        <w:widowControl/>
        <w:spacing w:line="250" w:lineRule="auto" w:before="254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sums payable by the Corporation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in respect of such a loan may, notwithstanding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to the contrary in any written law, be paid-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deduction for, and free from, any   taxes,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or fees imposed by or under any written law;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70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free from all restrictions imposed by or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42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however, that the preceding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shall not apply to any taxes, duties, fees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restrictions upon payments under any bond or promissory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note to a holder thereof other than any international or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organization, when such bond or promissory note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beneficially owned by a person resident in Sri Lanka.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purposes of subsection (3), the question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a person is or is not resident in Sri Lanka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in accordance with the provisions of the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guarantee agreement between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local, international or foreign organization pursuant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this Act and every guarantee given by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pursuant to any such guarantee agreement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to the contrary in any written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valid and enforceable in accordance with their respective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and conditions.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the case of any loan made to the Corporation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local, international or foreign organization 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 and guaranteed by the Government,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shall bear any loss and be entitled to any profit,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resulting from any revaluation of the rupee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currency or currencies in which that loan is expressed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of every such loss shall be charged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Consolidated Fund.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Minister or any person authorized in that behalf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Minister, by instrument under his hand is hereby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empowered on behalf of the Government to sign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guarantee agreement between the Government and any local,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or foreign organization.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20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may with the concurrence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incentives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 Finance prescribe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incentives and other exemptions available to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exemptions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category of investor in accordance with the written law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of application and granting of incentives.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prescribed.</w:t>
            </w:r>
          </w:p>
        </w:tc>
      </w:tr>
      <w:tr>
        <w:trPr>
          <w:trHeight w:hRule="exact" w:val="49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may subject to such terms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Delegation of</w:t>
            </w:r>
          </w:p>
        </w:tc>
      </w:tr>
      <w:tr>
        <w:trPr>
          <w:trHeight w:hRule="exact" w:val="1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as may be specified in writing, delegate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10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and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Chairperson or member of the Board or CEO any of its powers,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of the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or duties under this Act, and the Chairperson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 or CEO shall exercise, perform or discharge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power, function or duty subject to any special or general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issued by the Board.</w:t>
      </w:r>
    </w:p>
    <w:p>
      <w:pPr>
        <w:autoSpaceDN w:val="0"/>
        <w:autoSpaceDE w:val="0"/>
        <w:widowControl/>
        <w:spacing w:line="250" w:lineRule="auto" w:before="276" w:after="12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 delegation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(1), the Corporation may exercise, perform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any such power, function or duty so delegated.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may, from time to time issue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or special directions to the Board relating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the powers,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>and duties under this Act and it shall be the duty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to comply with such directions.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of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in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where the Corporation considers it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 the purposes of this Act, the Corporation may,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9" w:lineRule="auto" w:before="12" w:after="0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Minister, in relation to designated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development zones give special or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to any department or public corporation requiring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department or public corporation to perform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such functions or duties relating to an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project, plan, programme or scheme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may determine.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270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the department or public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to comply with such directions.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70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5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department or public corporation to which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is given under subsection (1)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supervision and control of the Corporation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all matters connected with such direction.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may make arrangements or enter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Arrangements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contracts with ministry, department, provincial council,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provincial ministry and department and local authority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persons or body of persons whether private or public </w:t>
      </w:r>
      <w:r>
        <w:rPr>
          <w:rFonts w:ascii="Times" w:hAnsi="Times" w:eastAsia="Times"/>
          <w:b w:val="0"/>
          <w:i w:val="0"/>
          <w:color w:val="221F1F"/>
          <w:sz w:val="20"/>
        </w:rPr>
        <w:t>including joint ventures, for the purpose of exercising,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performing and discharging its powers, functions and duties.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Acting on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may, with the approval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and in writing under its seal empower any person,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generally or in respect of any specific matter, to act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on behalf of the Corporation in any place outside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in accordance with the provisions of this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 members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members of the Board, officers, servants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agents of the Corporation shall be deemed to be public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Board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deemed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servants within the meaning and for the purpose of the Penal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public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 (Chapter 19).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servants.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deemed to be a Scheduled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within the meaning of the Bribery Act (Chapter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Scheduled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26) and the provisions of that Act shall be construed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 to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All expenses incurred by the Corporation in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suit or prosecution brought by or against it before any court,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paid out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Fund.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out of the Fund and any costs paid to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recovered by the Corporation in any such suit or prosecution,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credited to the Fund 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expenses incurred by a member of the Board,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CEO or any employee of the Corporation, in any suit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brought by or against such person before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in respect of any act which is done or purported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done by such person under this Act shall, if the court holds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9" w:lineRule="auto" w:before="266" w:after="23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act was done in good faith, be paid out of the Fund,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expenses are recovered by him in such suit or </w:t>
      </w:r>
      <w:r>
        <w:rPr>
          <w:rFonts w:ascii="Times" w:hAnsi="Times" w:eastAsia="Times"/>
          <w:b w:val="0"/>
          <w:i w:val="0"/>
          <w:color w:val="221F1F"/>
          <w:sz w:val="20"/>
        </w:rPr>
        <w:t>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may, in consultation with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Regulations.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make regulations in respect of matters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or for the purpose of carrying out or giving effect </w:t>
      </w:r>
      <w:r>
        <w:rPr>
          <w:rFonts w:ascii="Times" w:hAnsi="Times" w:eastAsia="Times"/>
          <w:b w:val="0"/>
          <w:i w:val="0"/>
          <w:color w:val="221F1F"/>
          <w:sz w:val="20"/>
        </w:rPr>
        <w:t>to the principles and provisions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particular and without prejudice to the generality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powers conferred on the Minister by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 make regulations under this section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 of all or any of the following matters:-</w:t>
      </w:r>
    </w:p>
    <w:p>
      <w:pPr>
        <w:autoSpaceDN w:val="0"/>
        <w:tabs>
          <w:tab w:pos="2508" w:val="left"/>
          <w:tab w:pos="2518" w:val="left"/>
        </w:tabs>
        <w:autoSpaceDE w:val="0"/>
        <w:widowControl/>
        <w:spacing w:line="259" w:lineRule="auto" w:before="294" w:after="22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manner in which the licensing of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zone developers to be made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each designated economic development zone;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qualifications for economic development zone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developers and operators;</w:t>
      </w:r>
    </w:p>
    <w:p>
      <w:pPr>
        <w:autoSpaceDN w:val="0"/>
        <w:tabs>
          <w:tab w:pos="2508" w:val="left"/>
        </w:tabs>
        <w:autoSpaceDE w:val="0"/>
        <w:widowControl/>
        <w:spacing w:line="235" w:lineRule="auto" w:before="294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and conditions of a licence;</w:t>
      </w:r>
    </w:p>
    <w:p>
      <w:pPr>
        <w:autoSpaceDN w:val="0"/>
        <w:tabs>
          <w:tab w:pos="2508" w:val="left"/>
          <w:tab w:pos="2518" w:val="left"/>
        </w:tabs>
        <w:autoSpaceDE w:val="0"/>
        <w:widowControl/>
        <w:spacing w:line="254" w:lineRule="auto" w:before="294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within a designated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zone;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 and obligations of a designated economic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2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 zone developer and operator;</w:t>
      </w:r>
    </w:p>
    <w:p>
      <w:pPr>
        <w:autoSpaceDN w:val="0"/>
        <w:tabs>
          <w:tab w:pos="2508" w:val="left"/>
          <w:tab w:pos="2518" w:val="left"/>
        </w:tabs>
        <w:autoSpaceDE w:val="0"/>
        <w:widowControl/>
        <w:spacing w:line="259" w:lineRule="auto" w:before="294" w:after="22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and obligations of enterprises licensed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 in a designated economic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categories of industrial and commercial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to be established in a designated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economic development zone;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706" w:val="left"/>
        </w:tabs>
        <w:autoSpaceDE w:val="0"/>
        <w:widowControl/>
        <w:spacing w:line="245" w:lineRule="auto" w:before="0" w:after="194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4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matters relating to the identification, mapping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Rules.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where necessary procuring available areas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 which have been established as Economic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Zones to economic development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 developers;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1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for the purpose of development,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and control of designated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conomic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zones.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Every regulation made by the Minister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(1), shall be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come into operation on the date of such publication or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later date as may be specified in the regulation.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Every regulation made by the Minister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shall, within a period of three months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date of its publication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brought before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for approval. Any regulation which is not so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shall be deemed to be rescinded as from the date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disapproval but without prejudice to anything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previously done thereunder.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Notification of the date on which any regulation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so rescinded, shall be published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may make rules in respect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matters for which rules are required or authorized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32" w:after="14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by the Corporation shall be approved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 and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come into operation on the date of such publication or on </w:t>
      </w:r>
      <w:r>
        <w:rPr>
          <w:rFonts w:ascii="Times" w:hAnsi="Times" w:eastAsia="Times"/>
          <w:b w:val="0"/>
          <w:i w:val="0"/>
          <w:color w:val="221F1F"/>
          <w:sz w:val="20"/>
        </w:rPr>
        <w:t>such later date as may be 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requires-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Interpretation.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0"/>
        <w:ind w:left="2662" w:right="2516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“development project” means, any activity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or private which generates production,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income, employment or improves economic,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social or environmental conditions of the Area;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54" w:after="0"/>
        <w:ind w:left="241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“environmental impact assessment report” shall have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meaning as is assigned to it by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Environmental Act, No. 47 of 1980;</w:t>
      </w:r>
    </w:p>
    <w:p>
      <w:pPr>
        <w:autoSpaceDN w:val="0"/>
        <w:autoSpaceDE w:val="0"/>
        <w:widowControl/>
        <w:spacing w:line="235" w:lineRule="auto" w:before="254" w:after="6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“local Authority” means, any Municipal Council, Urban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Council, Pradeshiya Sabha and includes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created and established by or under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law to exercise, perform and discharge powers, duties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corresponding to or similar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exercised, performed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discharged by any such Council or Sabha.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5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Ruhunu Economic Development Corporation 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5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9130" w:after="0"/>
        <w:ind w:left="0" w:right="32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