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3134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August 09, 2019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09.08.2019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exact" w:before="278" w:after="0"/>
        <w:ind w:left="0" w:right="2178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>FINANCE  LEASING  (AMENDMENT)</w:t>
      </w:r>
    </w:p>
    <w:p>
      <w:pPr>
        <w:autoSpaceDN w:val="0"/>
        <w:autoSpaceDE w:val="0"/>
        <w:widowControl/>
        <w:spacing w:line="332" w:lineRule="exact" w:before="390" w:after="0"/>
        <w:ind w:left="0" w:right="4354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388" w:after="0"/>
        <w:ind w:left="0" w:right="4152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326" w:after="0"/>
        <w:ind w:left="0" w:right="22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to amend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Finance Leasing Act, No. 56 of 2000 </w:t>
      </w:r>
    </w:p>
    <w:p>
      <w:pPr>
        <w:autoSpaceDN w:val="0"/>
        <w:autoSpaceDE w:val="0"/>
        <w:widowControl/>
        <w:spacing w:line="244" w:lineRule="exact" w:before="342" w:after="0"/>
        <w:ind w:left="0" w:right="2378" w:firstLine="0"/>
        <w:jc w:val="righ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8" w:lineRule="auto" w:before="298" w:after="0"/>
        <w:ind w:left="0" w:right="24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24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9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35" w:lineRule="auto" w:before="276" w:after="0"/>
        <w:ind w:left="15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24 of the Finance Leasing Act, No. 56 of 2000, (hereinafter</w:t>
      </w:r>
    </w:p>
    <w:p>
      <w:pPr>
        <w:autoSpaceDN w:val="0"/>
        <w:autoSpaceDE w:val="0"/>
        <w:widowControl/>
        <w:spacing w:line="252" w:lineRule="auto" w:before="48" w:after="0"/>
        <w:ind w:left="134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as the “principal enactment”), and the legal effect of the section as amended is to make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provisions enabling a lessor to transfer or assign his rights under the lease to any registered </w:t>
      </w:r>
      <w:r>
        <w:rPr>
          <w:rFonts w:ascii="Times" w:hAnsi="Times" w:eastAsia="Times"/>
          <w:b w:val="0"/>
          <w:i w:val="0"/>
          <w:color w:val="221F1F"/>
          <w:sz w:val="16"/>
        </w:rPr>
        <w:t>establishment without the consent of the lessee.</w:t>
      </w:r>
    </w:p>
    <w:p>
      <w:pPr>
        <w:autoSpaceDN w:val="0"/>
        <w:autoSpaceDE w:val="0"/>
        <w:widowControl/>
        <w:spacing w:line="254" w:lineRule="auto" w:before="220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26 of the principal enactment,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as amended is to make provisions to require the lessor to have validly perfected his rights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Secured Transactions Act, No.   of 2019 if his rights under the principal enactment are to </w:t>
      </w:r>
      <w:r>
        <w:rPr>
          <w:rFonts w:ascii="Times" w:hAnsi="Times" w:eastAsia="Times"/>
          <w:b w:val="0"/>
          <w:i w:val="0"/>
          <w:color w:val="221F1F"/>
          <w:sz w:val="16"/>
        </w:rPr>
        <w:t>be enforced against a trustee in bankruptcy of the lessee or a creditor of the lessee.</w:t>
      </w:r>
    </w:p>
    <w:p>
      <w:pPr>
        <w:autoSpaceDN w:val="0"/>
        <w:autoSpaceDE w:val="0"/>
        <w:widowControl/>
        <w:spacing w:line="254" w:lineRule="auto" w:before="218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27 of the principal enactment,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as amended is to make provisions recognizing the right of a lessor  who has registered his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rights under any finance lease under the Secured Transactions Act, No.   of 2019, to recover </w:t>
      </w:r>
      <w:r>
        <w:rPr>
          <w:rFonts w:ascii="Times" w:hAnsi="Times" w:eastAsia="Times"/>
          <w:b w:val="0"/>
          <w:i w:val="0"/>
          <w:color w:val="221F1F"/>
          <w:sz w:val="16"/>
        </w:rPr>
        <w:t>possession of an equipment.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Leasing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66/2017</w:t>
      </w:r>
    </w:p>
    <w:p>
      <w:pPr>
        <w:autoSpaceDN w:val="0"/>
        <w:autoSpaceDE w:val="0"/>
        <w:widowControl/>
        <w:spacing w:line="235" w:lineRule="auto" w:before="308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EASING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56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2000</w:t>
      </w:r>
    </w:p>
    <w:p>
      <w:pPr>
        <w:autoSpaceDN w:val="0"/>
        <w:autoSpaceDE w:val="0"/>
        <w:widowControl/>
        <w:spacing w:line="259" w:lineRule="auto" w:before="308" w:after="24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Finance Leasing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  of 2019 and shall come into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on such date as the Minister may appoint by Order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4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24 of the Finance Leasing Act, No. 56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24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2000 (hereinafter referred to as the “principal enactment”)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subsection (1) of that section,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56</w:t>
            </w:r>
          </w:p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“A lessor may, with the written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2000.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4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of the lessee obtained at the time of entering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finance lease or thereafter, transfer or assign”,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>words “A lessor may transfer or assign”.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26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“an attachement in execution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equipment.”, of the words and figures “an attachement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57" w:lineRule="auto" w:before="20" w:after="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of such equipment, provided the lessor has validly </w:t>
      </w:r>
      <w:r>
        <w:rPr>
          <w:rFonts w:ascii="Times" w:hAnsi="Times" w:eastAsia="Times"/>
          <w:b w:val="0"/>
          <w:i w:val="0"/>
          <w:color w:val="221F1F"/>
          <w:sz w:val="20"/>
        </w:rPr>
        <w:t>perfected those rights under the Secured Transactions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  of 2019.”.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27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“an equipment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or under a provision of a finance lease,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may-”, of the words and figures “an  equipment under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Secured Transactions Act, No.      of 2019 or where there are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 competing claimants, under a provision of a finance lease, </w:t>
      </w:r>
      <w:r>
        <w:rPr>
          <w:rFonts w:ascii="Times" w:hAnsi="Times" w:eastAsia="Times"/>
          <w:b w:val="0"/>
          <w:i w:val="0"/>
          <w:color w:val="221F1F"/>
          <w:sz w:val="20"/>
        </w:rPr>
        <w:t>may-”.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7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Leasing (Amendment)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2" w:after="0"/>
              <w:ind w:left="6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74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4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Leasing (Amendment)</w:t>
            </w:r>
          </w:p>
        </w:tc>
        <w:tc>
          <w:tcPr>
            <w:tcW w:type="dxa" w:w="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9132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