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auto" w:before="288" w:after="0"/>
        <w:ind w:left="0" w:right="313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August 09, 2019</w:t>
      </w:r>
    </w:p>
    <w:p>
      <w:pPr>
        <w:autoSpaceDN w:val="0"/>
        <w:autoSpaceDE w:val="0"/>
        <w:widowControl/>
        <w:spacing w:line="288" w:lineRule="auto" w:before="244" w:after="0"/>
        <w:ind w:left="0" w:right="363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09.08.2019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392" w:after="0"/>
        <w:ind w:left="0" w:right="2626" w:firstLine="0"/>
        <w:jc w:val="right"/>
      </w:pPr>
      <w:r>
        <w:rPr>
          <w:rFonts w:ascii="Times" w:hAnsi="Times" w:eastAsia="Times"/>
          <w:b/>
          <w:i w:val="0"/>
          <w:color w:val="221F1F"/>
          <w:sz w:val="26"/>
        </w:rPr>
        <w:t>MORTGAGE  (AMENDMENT)</w:t>
      </w:r>
    </w:p>
    <w:p>
      <w:pPr>
        <w:autoSpaceDN w:val="0"/>
        <w:autoSpaceDE w:val="0"/>
        <w:widowControl/>
        <w:spacing w:line="290" w:lineRule="auto" w:before="204" w:after="0"/>
        <w:ind w:left="0" w:right="435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88" w:lineRule="auto" w:before="204" w:after="0"/>
        <w:ind w:left="0" w:right="415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90" w:lineRule="auto" w:before="172" w:after="0"/>
        <w:ind w:left="0" w:right="270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Mortgage Act (Chapter 89)</w:t>
      </w:r>
    </w:p>
    <w:p>
      <w:pPr>
        <w:autoSpaceDN w:val="0"/>
        <w:autoSpaceDE w:val="0"/>
        <w:widowControl/>
        <w:spacing w:line="235" w:lineRule="auto" w:before="636" w:after="0"/>
        <w:ind w:left="0" w:right="236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8" w:lineRule="auto" w:before="438" w:after="0"/>
        <w:ind w:left="0" w:right="241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4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94"/>
        <w:ind w:left="0" w:right="0"/>
      </w:pPr>
    </w:p>
    <w:p>
      <w:pPr>
        <w:autoSpaceDN w:val="0"/>
        <w:tabs>
          <w:tab w:pos="1582" w:val="left"/>
          <w:tab w:pos="3318" w:val="left"/>
        </w:tabs>
        <w:autoSpaceDE w:val="0"/>
        <w:widowControl/>
        <w:spacing w:line="319" w:lineRule="auto" w:before="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inserts the new section 68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Mortgage Act (Chapter 89),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that section is to limit the applicability of Part III of the Mortgage Act in relation to </w:t>
      </w:r>
      <w:r>
        <w:rPr>
          <w:rFonts w:ascii="Times" w:hAnsi="Times" w:eastAsia="Times"/>
          <w:b w:val="0"/>
          <w:i w:val="0"/>
          <w:color w:val="221F1F"/>
          <w:sz w:val="16"/>
        </w:rPr>
        <w:t>movable property upon coming into operation of the Secured Transactions Act, No.   of 2019.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Mortgage 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276" w:val="left"/>
        </w:tabs>
        <w:autoSpaceDE w:val="0"/>
        <w:widowControl/>
        <w:spacing w:line="415" w:lineRule="auto" w:before="452" w:after="0"/>
        <w:ind w:left="179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65/2017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ORTGAGE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89)</w:t>
      </w:r>
    </w:p>
    <w:p>
      <w:pPr>
        <w:autoSpaceDN w:val="0"/>
        <w:autoSpaceDE w:val="0"/>
        <w:widowControl/>
        <w:spacing w:line="235" w:lineRule="auto" w:before="34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38" w:lineRule="auto" w:before="58" w:after="28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Mortgage (Amendment)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   of 2019 and shall come into operation 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as the Minister may appoint by Order published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28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68 of the Mortgage Act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</w:t>
            </w:r>
          </w:p>
        </w:tc>
      </w:tr>
      <w:tr>
        <w:trPr>
          <w:trHeight w:hRule="exact" w:val="24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89) and shall have effect as section 68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89.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78" w:right="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Part III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96" w:after="0"/>
              <w:ind w:left="98" w:right="0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Part III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only apply to any movable property in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far as they are not inconsistent with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57" w:lineRule="auto" w:before="14" w:after="214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Secured Transactions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   of 2019, from and after the date of coming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of the said 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7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53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Mortgage (Amendment)</w:t>
            </w:r>
          </w:p>
        </w:tc>
      </w:tr>
    </w:tbl>
    <w:p>
      <w:pPr>
        <w:autoSpaceDN w:val="0"/>
        <w:autoSpaceDE w:val="0"/>
        <w:widowControl/>
        <w:spacing w:line="235" w:lineRule="auto" w:before="913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