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8" w:after="0"/>
        <w:ind w:left="19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>NATION  BUILDING  TAX  (AMENDMENT)</w:t>
      </w:r>
    </w:p>
    <w:p>
      <w:pPr>
        <w:autoSpaceDN w:val="0"/>
        <w:autoSpaceDE w:val="0"/>
        <w:widowControl/>
        <w:spacing w:line="238" w:lineRule="auto" w:before="28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94" w:after="0"/>
        <w:ind w:left="22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Nation Building Tax Act, No. 9 of 2009</w:t>
      </w:r>
    </w:p>
    <w:p>
      <w:pPr>
        <w:autoSpaceDN w:val="0"/>
        <w:autoSpaceDE w:val="0"/>
        <w:widowControl/>
        <w:spacing w:line="235" w:lineRule="auto" w:before="28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54" w:lineRule="auto" w:before="346" w:after="0"/>
        <w:ind w:left="19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the Minister of Finance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20th of August, 2019</w:t>
      </w:r>
    </w:p>
    <w:p>
      <w:pPr>
        <w:autoSpaceDN w:val="0"/>
        <w:autoSpaceDE w:val="0"/>
        <w:widowControl/>
        <w:spacing w:line="238" w:lineRule="auto" w:before="244" w:after="0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31, 2019)</w:t>
      </w:r>
    </w:p>
    <w:p>
      <w:pPr>
        <w:autoSpaceDN w:val="0"/>
        <w:autoSpaceDE w:val="0"/>
        <w:widowControl/>
        <w:spacing w:line="238" w:lineRule="auto" w:before="252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8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7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294]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24"/>
        <w:ind w:left="0" w:right="0"/>
      </w:pPr>
    </w:p>
    <w:p>
      <w:pPr>
        <w:autoSpaceDN w:val="0"/>
        <w:tabs>
          <w:tab w:pos="1676" w:val="left"/>
          <w:tab w:pos="3356" w:val="left"/>
        </w:tabs>
        <w:autoSpaceDE w:val="0"/>
        <w:widowControl/>
        <w:spacing w:line="307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Nation Building Tax Act, No. 9 of 2009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limit the period of exemption granted to certain cigarettes identified under </w:t>
      </w:r>
      <w:r>
        <w:rPr>
          <w:rFonts w:ascii="Times" w:hAnsi="Times" w:eastAsia="Times"/>
          <w:b w:val="0"/>
          <w:i w:val="0"/>
          <w:color w:val="221F1F"/>
          <w:sz w:val="16"/>
        </w:rPr>
        <w:t>Harmonized Commodity Description and Coding Numbers.</w:t>
      </w:r>
    </w:p>
    <w:p>
      <w:pPr>
        <w:autoSpaceDN w:val="0"/>
        <w:tabs>
          <w:tab w:pos="1676" w:val="left"/>
          <w:tab w:pos="1708" w:val="left"/>
          <w:tab w:pos="1722" w:val="left"/>
          <w:tab w:pos="2036" w:val="left"/>
        </w:tabs>
        <w:autoSpaceDE w:val="0"/>
        <w:widowControl/>
        <w:spacing w:line="403" w:lineRule="auto" w:before="214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First Schedule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to make provisions to-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limit the period of exemption granted to cigarettes identified under Harmonized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Commodity Description and Coding Numbers;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revise the existing criteria of exemptions relating to gems exported;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extend the exemption to importation of certain new articles;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limit the period of exemption granted to certain services.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9/2019</w:t>
      </w:r>
    </w:p>
    <w:p>
      <w:pPr>
        <w:autoSpaceDN w:val="0"/>
        <w:autoSpaceDE w:val="0"/>
        <w:widowControl/>
        <w:spacing w:line="235" w:lineRule="auto" w:before="326" w:after="0"/>
        <w:ind w:left="18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UILDING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Nation Building Tax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2019, and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come into operation on July 1, 2019, unless different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dates of operation are specified 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Nation Building Tax Act, No. 9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2009 (hereinafter referred to as the “principal enactment”)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last amended by Act, No. 20 of 2018, is hereby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9 of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subparagraph (12) of paragraph (iv) of subsection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2009.</w:t>
            </w:r>
          </w:p>
        </w:tc>
      </w:tr>
    </w:tbl>
    <w:p>
      <w:pPr>
        <w:autoSpaceDN w:val="0"/>
        <w:autoSpaceDE w:val="0"/>
        <w:widowControl/>
        <w:spacing w:line="271" w:lineRule="auto" w:before="18" w:after="26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(2), by the substitution for the words “importer himself.;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and”, of the words and figures “importer himself,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july 1, 2019 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as last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Act, No. 20 of 2018 is hereby further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13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PART I of that Schedule -</w:t>
      </w:r>
    </w:p>
    <w:p>
      <w:pPr>
        <w:autoSpaceDN w:val="0"/>
        <w:tabs>
          <w:tab w:pos="2872" w:val="left"/>
          <w:tab w:pos="323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item (XLIX) thereof,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“cigarettes identified”,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“for any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prior to July 1, 2019,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cigarettes identified”;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326" w:after="0"/>
        <w:ind w:left="28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item (LIV) thereof,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item:-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 Building Tax (Amendment)</w:t>
      </w:r>
    </w:p>
    <w:p>
      <w:pPr>
        <w:autoSpaceDN w:val="0"/>
        <w:tabs>
          <w:tab w:pos="3258" w:val="left"/>
          <w:tab w:pos="3922" w:val="left"/>
        </w:tabs>
        <w:autoSpaceDE w:val="0"/>
        <w:widowControl/>
        <w:spacing w:line="254" w:lineRule="auto" w:before="48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importation of gem stones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Gem and Jewellery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re-exporting such gems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cut and polished;”;</w:t>
      </w:r>
    </w:p>
    <w:p>
      <w:pPr>
        <w:autoSpaceDN w:val="0"/>
        <w:autoSpaceDE w:val="0"/>
        <w:widowControl/>
        <w:spacing w:line="252" w:lineRule="auto" w:before="268" w:after="0"/>
        <w:ind w:left="3142" w:right="251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item (LV)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“the subject of Agriculture.”,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“the subject of Agriculture;”;</w:t>
      </w:r>
    </w:p>
    <w:p>
      <w:pPr>
        <w:autoSpaceDN w:val="0"/>
        <w:tabs>
          <w:tab w:pos="2778" w:val="left"/>
          <w:tab w:pos="3142" w:val="left"/>
        </w:tabs>
        <w:autoSpaceDE w:val="0"/>
        <w:widowControl/>
        <w:spacing w:line="247" w:lineRule="auto" w:before="26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insertion immediately after item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(LV) thereof, of the following new items:-</w:t>
      </w:r>
    </w:p>
    <w:p>
      <w:pPr>
        <w:autoSpaceDN w:val="0"/>
        <w:tabs>
          <w:tab w:pos="3278" w:val="left"/>
          <w:tab w:pos="3982" w:val="left"/>
        </w:tabs>
        <w:autoSpaceDE w:val="0"/>
        <w:widowControl/>
        <w:spacing w:line="254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“(LVI)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palm oil manufactured locally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imported palm oil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the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Levy charged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Special Commodity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Levy Act, No. 48 of 2007;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70" w:after="194"/>
        <w:ind w:left="33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importation of Lucerne (alfalfa)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meal and pellets;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(LVIII)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importation of yachts and other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398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vessels for pleasure or sports,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rowing boats and canvas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classified under the HS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8903.91.00.”;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 II of that Schedule -</w:t>
            </w:r>
          </w:p>
        </w:tc>
      </w:tr>
    </w:tbl>
    <w:p>
      <w:pPr>
        <w:autoSpaceDN w:val="0"/>
        <w:autoSpaceDE w:val="0"/>
        <w:widowControl/>
        <w:spacing w:line="238" w:lineRule="auto" w:before="206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item (vii) thereof-</w:t>
      </w:r>
    </w:p>
    <w:p>
      <w:pPr>
        <w:autoSpaceDN w:val="0"/>
        <w:autoSpaceDE w:val="0"/>
        <w:widowControl/>
        <w:spacing w:line="247" w:lineRule="auto" w:before="270" w:after="10"/>
        <w:ind w:left="3544" w:right="2448" w:hanging="3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“a construction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0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contractor or a sub-contractor”,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 Building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4058" w:val="left"/>
        </w:tabs>
        <w:autoSpaceDE w:val="0"/>
        <w:widowControl/>
        <w:spacing w:line="247" w:lineRule="auto" w:before="488" w:after="0"/>
        <w:ind w:left="39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 construction contractor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sub-contractor; or”;</w:t>
      </w:r>
    </w:p>
    <w:p>
      <w:pPr>
        <w:autoSpaceDN w:val="0"/>
        <w:autoSpaceDE w:val="0"/>
        <w:widowControl/>
        <w:spacing w:line="238" w:lineRule="auto" w:before="27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by the insertion immediately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52" w:lineRule="auto" w:before="208" w:after="0"/>
        <w:ind w:left="4358" w:right="2422" w:hanging="3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or after July 1, 2019,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construction contractor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sub-contractor;” and</w:t>
      </w:r>
    </w:p>
    <w:p>
      <w:pPr>
        <w:autoSpaceDN w:val="0"/>
        <w:tabs>
          <w:tab w:pos="2872" w:val="left"/>
          <w:tab w:pos="3238" w:val="left"/>
        </w:tabs>
        <w:autoSpaceDE w:val="0"/>
        <w:widowControl/>
        <w:spacing w:line="257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 substitution for item (xii) thereof,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item:-</w:t>
      </w:r>
    </w:p>
    <w:p>
      <w:pPr>
        <w:autoSpaceDN w:val="0"/>
        <w:autoSpaceDE w:val="0"/>
        <w:widowControl/>
        <w:spacing w:line="252" w:lineRule="auto" w:before="250" w:after="210"/>
        <w:ind w:left="3856" w:right="2422" w:hanging="5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“(xii) services provided by a hotel, guest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house, restaurant or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to January 1, 2011;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after July 1, 2019,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4464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payment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service is received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currency through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in Sri Lanka,</w:t>
            </w:r>
          </w:p>
        </w:tc>
      </w:tr>
    </w:tbl>
    <w:p>
      <w:pPr>
        <w:autoSpaceDN w:val="0"/>
        <w:autoSpaceDE w:val="0"/>
        <w:widowControl/>
        <w:spacing w:line="252" w:lineRule="auto" w:before="210" w:after="0"/>
        <w:ind w:left="38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hotel, guest house,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restaurant or other similar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registered with the Ceylon</w:t>
      </w:r>
    </w:p>
    <w:p>
      <w:pPr>
        <w:autoSpaceDN w:val="0"/>
        <w:autoSpaceDE w:val="0"/>
        <w:widowControl/>
        <w:spacing w:line="238" w:lineRule="auto" w:before="46" w:after="24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Tourist Board;”.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 Building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0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