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96" w:after="0"/>
        <w:ind w:left="0" w:right="38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8"/>
        </w:rPr>
        <w:t>FINANCE</w:t>
      </w:r>
    </w:p>
    <w:p>
      <w:pPr>
        <w:autoSpaceDN w:val="0"/>
        <w:autoSpaceDE w:val="0"/>
        <w:widowControl/>
        <w:spacing w:line="238" w:lineRule="auto" w:before="26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424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Finance Act, No. 35 of 2018; to provide for the imposition of a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Foreign  Commercial  Transactions  Levy; and to provide for the matters </w:t>
      </w:r>
      <w:r>
        <w:rPr>
          <w:rFonts w:ascii="Times,Bold" w:hAnsi="Times,Bold" w:eastAsia="Times,Bold"/>
          <w:b/>
          <w:i w:val="0"/>
          <w:color w:val="000000"/>
          <w:sz w:val="20"/>
        </w:rPr>
        <w:t>connected therewith and  incidental thereto</w:t>
      </w:r>
    </w:p>
    <w:p>
      <w:pPr>
        <w:autoSpaceDN w:val="0"/>
        <w:autoSpaceDE w:val="0"/>
        <w:widowControl/>
        <w:spacing w:line="238" w:lineRule="auto" w:before="206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54" w:lineRule="auto" w:before="178" w:after="0"/>
        <w:ind w:left="181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the Minister of Finance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06th of September, 2019</w:t>
      </w:r>
    </w:p>
    <w:p>
      <w:pPr>
        <w:autoSpaceDN w:val="0"/>
        <w:autoSpaceDE w:val="0"/>
        <w:widowControl/>
        <w:spacing w:line="235" w:lineRule="auto" w:before="24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22, 2019)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1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297]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9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9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15/2019</w:t>
      </w:r>
    </w:p>
    <w:p>
      <w:pPr>
        <w:autoSpaceDN w:val="0"/>
        <w:autoSpaceDE w:val="0"/>
        <w:widowControl/>
        <w:spacing w:line="266" w:lineRule="auto" w:before="304" w:after="0"/>
        <w:ind w:left="1944" w:right="2526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OMMERCIAL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RANSACTIONS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EVY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THEREWITH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306" w:after="24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Finance Act, No.   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2019.</w:t>
      </w:r>
    </w:p>
    <w:p>
      <w:pPr>
        <w:autoSpaceDN w:val="0"/>
        <w:tabs>
          <w:tab w:pos="3778" w:val="left"/>
        </w:tabs>
        <w:autoSpaceDE w:val="0"/>
        <w:widowControl/>
        <w:spacing w:line="264" w:lineRule="auto" w:before="306" w:after="0"/>
        <w:ind w:left="1508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76" w:after="24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MENDMENT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VII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2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23 of the Finance Act, No. 35 of 2018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the substitution for the definition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expression “specified motor vehicle”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35 of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2018.</w:t>
            </w:r>
          </w:p>
        </w:tc>
      </w:tr>
    </w:tbl>
    <w:p>
      <w:pPr>
        <w:autoSpaceDN w:val="0"/>
        <w:autoSpaceDE w:val="0"/>
        <w:widowControl/>
        <w:spacing w:line="235" w:lineRule="auto" w:before="24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 “specified motor vehicle”—</w:t>
      </w:r>
    </w:p>
    <w:p>
      <w:pPr>
        <w:autoSpaceDN w:val="0"/>
        <w:tabs>
          <w:tab w:pos="2664" w:val="left"/>
        </w:tabs>
        <w:autoSpaceDE w:val="0"/>
        <w:widowControl/>
        <w:spacing w:line="264" w:lineRule="auto" w:before="306" w:after="0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 vehicle of which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falls prior to July 1, 2019, means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assembled or unassembled diesel motor</w:t>
      </w:r>
    </w:p>
    <w:p>
      <w:pPr>
        <w:autoSpaceDN w:val="0"/>
        <w:tabs>
          <w:tab w:pos="2664" w:val="left"/>
        </w:tabs>
        <w:autoSpaceDE w:val="0"/>
        <w:widowControl/>
        <w:spacing w:line="271" w:lineRule="auto" w:before="38" w:after="18"/>
        <w:ind w:left="143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of which the cylinder capacity exceeds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2,300 CC or a petrol motor vehicle of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cylinder capacity exceeds 1,800 CC or an 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of which motor power of the engine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exceeds 200 Kw, but shall not include a dual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51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5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petrol motor vehicle the cylinder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capacity of which does not exceed 2,200 CC,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26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dual purpose electric motor vehicle, a van,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single cab or a wagon;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a vehicle of which the first</w:t>
            </w:r>
          </w:p>
        </w:tc>
      </w:tr>
    </w:tbl>
    <w:p>
      <w:pPr>
        <w:autoSpaceDN w:val="0"/>
        <w:autoSpaceDE w:val="0"/>
        <w:widowControl/>
        <w:spacing w:line="250" w:lineRule="auto" w:before="16" w:after="0"/>
        <w:ind w:left="275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falls on or after July 1, 2019,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assembled or unassembled motor vehicle,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but does not include a van, a single cab, a motor</w:t>
      </w:r>
    </w:p>
    <w:p>
      <w:pPr>
        <w:autoSpaceDN w:val="0"/>
        <w:tabs>
          <w:tab w:pos="2756" w:val="left"/>
        </w:tabs>
        <w:autoSpaceDE w:val="0"/>
        <w:widowControl/>
        <w:spacing w:line="252" w:lineRule="auto" w:before="18" w:after="0"/>
        <w:ind w:left="1602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cycle, a motor tricycle, a motor ambulance,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motor hearse, a lorry, a tractor, a hand tractor,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trailer or any motor vehicle for transport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goods (other than a double cab), as identified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harmonized commodity description</w:t>
      </w:r>
    </w:p>
    <w:p>
      <w:pPr>
        <w:autoSpaceDN w:val="0"/>
        <w:tabs>
          <w:tab w:pos="2756" w:val="left"/>
        </w:tabs>
        <w:autoSpaceDE w:val="0"/>
        <w:widowControl/>
        <w:spacing w:line="247" w:lineRule="auto" w:before="20" w:after="0"/>
        <w:ind w:left="1516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coding system numbers provided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Customs Ordinance (Chapter 235).”.</w:t>
      </w:r>
    </w:p>
    <w:p>
      <w:pPr>
        <w:autoSpaceDN w:val="0"/>
        <w:autoSpaceDE w:val="0"/>
        <w:widowControl/>
        <w:spacing w:line="235" w:lineRule="auto" w:before="266" w:after="0"/>
        <w:ind w:left="0" w:right="4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35" w:lineRule="auto" w:before="266" w:after="206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EVY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OMMERCIAL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44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Part of this Act shall come into operation 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date as the Minister may by Order published in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appoint (hereinafter in this Part referred to as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“appointed date”).</w:t>
      </w:r>
    </w:p>
    <w:p>
      <w:pPr>
        <w:autoSpaceDN w:val="0"/>
        <w:autoSpaceDE w:val="0"/>
        <w:widowControl/>
        <w:spacing w:line="247" w:lineRule="auto" w:before="264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Order under subsection (1) shall, not later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from the date of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be</w:t>
      </w:r>
    </w:p>
    <w:p>
      <w:pPr>
        <w:autoSpaceDN w:val="0"/>
        <w:tabs>
          <w:tab w:pos="1796" w:val="left"/>
        </w:tabs>
        <w:autoSpaceDE w:val="0"/>
        <w:widowControl/>
        <w:spacing w:line="238" w:lineRule="auto" w:before="20" w:after="0"/>
        <w:ind w:left="1510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 for its approval.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64" w:after="20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Notification of the date of the approval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Gezette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0" w:after="0"/>
              <w:ind w:left="0" w:right="4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appointed date, there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Imposition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charged, a levy to be called the “Levy on Foreign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Levy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Transactions” (hereinafter in this Part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“Levy”) from every person who has completed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transactions.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transaction through a payment card with a person outside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to purchase any goods or services from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6" w:after="0"/>
        <w:ind w:left="1496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rate of the Levy shall be 3.5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 remitted outside Sri Lanka for any transaction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76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Finance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244" w:after="0"/>
        <w:ind w:left="1704" w:right="252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levy shall be collected at the time of the remittance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sum outside Sri Lanka for a transaction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by every financial institution which transfers </w:t>
      </w:r>
      <w:r>
        <w:rPr>
          <w:rFonts w:ascii="Times" w:hAnsi="Times" w:eastAsia="Times"/>
          <w:b w:val="0"/>
          <w:i w:val="0"/>
          <w:color w:val="000000"/>
          <w:sz w:val="20"/>
        </w:rPr>
        <w:t>any such sum.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204"/>
        <w:ind w:left="151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aggregate of the sums so collected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by any financial institution within any month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remitted to the Commissioner-General on or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twentieth day of the month succeeding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 financial institution shall in respect of each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such financial institution, furnish a return to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4" w:right="25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within a period of six months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end of that financial year, in such form, manner and </w:t>
      </w:r>
      <w:r>
        <w:rPr>
          <w:rFonts w:ascii="Times" w:hAnsi="Times" w:eastAsia="Times"/>
          <w:b w:val="0"/>
          <w:i w:val="0"/>
          <w:color w:val="000000"/>
          <w:sz w:val="20"/>
        </w:rPr>
        <w:t>containing such information together with such attachments,</w:t>
      </w:r>
    </w:p>
    <w:p>
      <w:pPr>
        <w:autoSpaceDN w:val="0"/>
        <w:tabs>
          <w:tab w:pos="1704" w:val="left"/>
        </w:tabs>
        <w:autoSpaceDE w:val="0"/>
        <w:widowControl/>
        <w:spacing w:line="245" w:lineRule="auto" w:before="18" w:after="0"/>
        <w:ind w:left="1432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by the Commissioner-General.</w:t>
      </w:r>
    </w:p>
    <w:p>
      <w:pPr>
        <w:autoSpaceDN w:val="0"/>
        <w:autoSpaceDE w:val="0"/>
        <w:widowControl/>
        <w:spacing w:line="252" w:lineRule="auto" w:before="258" w:after="204"/>
        <w:ind w:left="1704" w:right="25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provisions which may be necessary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implemention of the provisions of this Part and collection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levy shall be prescribed by regulations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42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having regard to the economic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of the country,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exempt any transaction specified in such Order,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Levy.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such conditions as may be specified in such Order,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the application of the provisions of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5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financial institution, which is liable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pay the levy under this Part fails to pay the levy as provided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Levy.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in section 4, such financial institution shall be deemed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be a defaulter under this Act.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6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Chapter IX, Chapter XI, Chapter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XII, Chapter XIII, Chapter XIV, Chapter XV, Chapter XVI,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XVII and Chapter XVIII of the Inland Revenue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24 of 2017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and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relation to any such defaulter.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1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part of this Act, unless the context otherwise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requires—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7" w:lineRule="auto" w:before="276" w:after="0"/>
        <w:ind w:left="16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“Commissioner-General” means the Commissioner-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Inland Revenue appointed or deemed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appointed under the Inland Revenue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24 of 2017;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9" w:lineRule="auto" w:before="27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“charge card” means, a payment card which involves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line of credit granted by the issuer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cardholder where the credit utilized by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cardholder must be settled fully on or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date specified by the issuer, without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extended credit;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9" w:lineRule="auto" w:before="276" w:after="0"/>
        <w:ind w:left="15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“credit card” means, a payment card which involves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line of credit granted by the issuer to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cardholder where the credit utilized can be settled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full or in part on or before a specified date.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issuer may charge interest or other charges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amount not settled on the specified date;</w:t>
      </w:r>
    </w:p>
    <w:p>
      <w:pPr>
        <w:autoSpaceDN w:val="0"/>
        <w:autoSpaceDE w:val="0"/>
        <w:widowControl/>
        <w:spacing w:line="238" w:lineRule="auto" w:before="276" w:after="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“debit card” means, a payment card that may  be used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24" w:after="0"/>
        <w:ind w:left="1496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withdraw cash or execute payments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of goods and services, or for both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purposes, by directly debiting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cardholder’s account;</w:t>
      </w:r>
    </w:p>
    <w:p>
      <w:pPr>
        <w:autoSpaceDN w:val="0"/>
        <w:tabs>
          <w:tab w:pos="2336" w:val="left"/>
          <w:tab w:pos="2636" w:val="left"/>
        </w:tabs>
        <w:autoSpaceDE w:val="0"/>
        <w:widowControl/>
        <w:spacing w:line="254" w:lineRule="auto" w:before="27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“finance company” means, a finance company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under the Finance Business Act, No. 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2011;</w:t>
      </w:r>
    </w:p>
    <w:p>
      <w:pPr>
        <w:autoSpaceDN w:val="0"/>
        <w:autoSpaceDE w:val="0"/>
        <w:widowControl/>
        <w:spacing w:line="254" w:lineRule="auto" w:before="276" w:after="12"/>
        <w:ind w:left="2636" w:right="2418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institution” means, a licensed commercial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a licensed specialized bank, or a finance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 engaged in the business as an issuer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462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cards or financial acquirer of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cards under the authority of a licence issued by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 of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376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Finance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236" w:after="0"/>
        <w:ind w:left="2544" w:right="252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acquirer” means, any person who makes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with third parties to accept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cards of cardholders as a means of payment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reimburses those third parties with the value of</w:t>
      </w:r>
    </w:p>
    <w:p>
      <w:pPr>
        <w:autoSpaceDN w:val="0"/>
        <w:tabs>
          <w:tab w:pos="2544" w:val="left"/>
        </w:tabs>
        <w:autoSpaceDE w:val="0"/>
        <w:widowControl/>
        <w:spacing w:line="245" w:lineRule="auto" w:before="6" w:after="0"/>
        <w:ind w:left="1508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goods or services purchased by the cardholder,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who reimburses such third parties for cash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 obtained by the card holders or performs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both such functions;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45" w:lineRule="auto" w:before="242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“issuer” means, an entity that issues a payment card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thereby enters into a contractual relationship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cardholder;</w:t>
      </w:r>
    </w:p>
    <w:p>
      <w:pPr>
        <w:autoSpaceDN w:val="0"/>
        <w:autoSpaceDE w:val="0"/>
        <w:widowControl/>
        <w:spacing w:line="245" w:lineRule="auto" w:before="242" w:after="0"/>
        <w:ind w:left="2544" w:right="252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commercial bank” means, a commercial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under the Banking Act, No. 30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52" w:lineRule="auto" w:before="214" w:after="0"/>
        <w:ind w:left="141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specialized bank” means, a specialized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under the Banking Act, No. 30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autoSpaceDN w:val="0"/>
        <w:tabs>
          <w:tab w:pos="2544" w:val="left"/>
        </w:tabs>
        <w:autoSpaceDE w:val="0"/>
        <w:widowControl/>
        <w:spacing w:line="245" w:lineRule="auto" w:before="242" w:after="0"/>
        <w:ind w:left="22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“payment card” means, a debit card, credit card,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charge card or stored-value card;</w:t>
      </w:r>
    </w:p>
    <w:p>
      <w:pPr>
        <w:autoSpaceDN w:val="0"/>
        <w:tabs>
          <w:tab w:pos="2244" w:val="left"/>
          <w:tab w:pos="2544" w:val="left"/>
        </w:tabs>
        <w:autoSpaceDE w:val="0"/>
        <w:widowControl/>
        <w:spacing w:line="245" w:lineRule="auto" w:before="240" w:after="0"/>
        <w:ind w:left="1396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shall have the same meaning assigned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expression under the Inland Revenue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24 of 2017;</w:t>
      </w:r>
    </w:p>
    <w:p>
      <w:pPr>
        <w:autoSpaceDN w:val="0"/>
        <w:autoSpaceDE w:val="0"/>
        <w:widowControl/>
        <w:spacing w:line="238" w:lineRule="auto" w:before="240" w:after="4"/>
        <w:ind w:left="22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“stored-value card” means, a payment card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482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device with access to a stored value that 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used as a means of payment and does not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 card that can be used only to settle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payment obligations to the issuer of such card.</w:t>
      </w:r>
    </w:p>
    <w:p>
      <w:pPr>
        <w:autoSpaceDN w:val="0"/>
        <w:autoSpaceDE w:val="0"/>
        <w:widowControl/>
        <w:spacing w:line="238" w:lineRule="auto" w:before="240" w:after="0"/>
        <w:ind w:left="0" w:right="4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40" w:after="180"/>
        <w:ind w:left="0" w:right="4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74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in respect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which are required to be prescribed or for which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 are authorized to be made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3858" w:val="left"/>
        </w:tabs>
        <w:autoSpaceDE w:val="0"/>
        <w:widowControl/>
        <w:spacing w:line="266" w:lineRule="exact" w:before="0" w:after="0"/>
        <w:ind w:left="18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Finance</w:t>
      </w:r>
    </w:p>
    <w:p>
      <w:pPr>
        <w:autoSpaceDN w:val="0"/>
        <w:autoSpaceDE w:val="0"/>
        <w:widowControl/>
        <w:spacing w:line="245" w:lineRule="auto" w:before="232" w:after="0"/>
        <w:ind w:left="1796" w:right="2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the date of its publication or on such </w:t>
      </w:r>
      <w:r>
        <w:rPr>
          <w:rFonts w:ascii="Times" w:hAnsi="Times" w:eastAsia="Times"/>
          <w:b w:val="0"/>
          <w:i w:val="0"/>
          <w:color w:val="000000"/>
          <w:sz w:val="20"/>
        </w:rPr>
        <w:t>later date as may be specified therein.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0"/>
        <w:ind w:left="1568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from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approval. Every regulation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disapproval but without prejudice to anything duly</w:t>
      </w:r>
    </w:p>
    <w:p>
      <w:pPr>
        <w:autoSpaceDN w:val="0"/>
        <w:tabs>
          <w:tab w:pos="1796" w:val="left"/>
        </w:tabs>
        <w:autoSpaceDE w:val="0"/>
        <w:widowControl/>
        <w:spacing w:line="247" w:lineRule="auto" w:before="6" w:after="0"/>
        <w:ind w:left="1498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done thereunder.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36" w:after="19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 the date on which any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8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144"/>
        </w:trPr>
        <w:tc>
          <w:tcPr>
            <w:tcW w:type="dxa" w:w="405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9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</w:t>
            </w:r>
          </w:p>
        </w:tc>
        <w:tc>
          <w:tcPr>
            <w:tcW w:type="dxa" w:w="219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