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4" w:after="0"/>
        <w:ind w:left="0" w:right="235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8"/>
        </w:rPr>
        <w:t>PRESCRIPTION (AMENDMENT)</w:t>
      </w:r>
    </w:p>
    <w:p>
      <w:pPr>
        <w:autoSpaceDN w:val="0"/>
        <w:autoSpaceDE w:val="0"/>
        <w:widowControl/>
        <w:spacing w:line="235" w:lineRule="auto" w:before="43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94" w:after="0"/>
        <w:ind w:left="0" w:right="43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368" w:after="0"/>
        <w:ind w:left="0" w:right="242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Prescription Ordinance (Chapter 68)</w:t>
      </w:r>
    </w:p>
    <w:p>
      <w:pPr>
        <w:autoSpaceDN w:val="0"/>
        <w:autoSpaceDE w:val="0"/>
        <w:widowControl/>
        <w:spacing w:line="238" w:lineRule="auto" w:before="24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16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 Justice and Prison Reforms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18th of September, 2019</w:t>
      </w:r>
    </w:p>
    <w:p>
      <w:pPr>
        <w:autoSpaceDN w:val="0"/>
        <w:autoSpaceDE w:val="0"/>
        <w:widowControl/>
        <w:spacing w:line="238" w:lineRule="auto" w:before="252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15, 2019)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7" w:lineRule="auto" w:before="234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298]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7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5 of the Prescription Ordinance (Chapter 68),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legal effect of the section as amended is to make provisions so that an action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recovery of any sum due upon any mortgage of any property or any bond for the payment </w:t>
      </w:r>
      <w:r>
        <w:rPr>
          <w:rFonts w:ascii="Times" w:hAnsi="Times" w:eastAsia="Times"/>
          <w:b w:val="0"/>
          <w:i w:val="0"/>
          <w:color w:val="221F1F"/>
          <w:sz w:val="16"/>
        </w:rPr>
        <w:t>of money shall be prescribed after ten years from the date of giving notice to the debtor.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Prescription 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63/2017</w:t>
      </w:r>
    </w:p>
    <w:p>
      <w:pPr>
        <w:autoSpaceDN w:val="0"/>
        <w:autoSpaceDE w:val="0"/>
        <w:widowControl/>
        <w:spacing w:line="238" w:lineRule="auto" w:before="294" w:after="0"/>
        <w:ind w:left="19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RESCRIPTION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68)</w:t>
      </w:r>
    </w:p>
    <w:p>
      <w:pPr>
        <w:autoSpaceDN w:val="0"/>
        <w:autoSpaceDE w:val="0"/>
        <w:widowControl/>
        <w:spacing w:line="254" w:lineRule="auto" w:before="292" w:after="23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Prescription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(Amendment)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Act, No.    of 2019 and shall come into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on such date as the Minister may appoint by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Prescription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Ordinance (Chapter 68)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by the substitution for all the words from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“within ten years from the expiration of such time,”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68.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 of that section, of the words “within ten years from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1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date of giving notice to the debtor.”.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8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90"/>
        </w:trPr>
        <w:tc>
          <w:tcPr>
            <w:tcW w:type="dxa" w:w="10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8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Prescription  (Amendment)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