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11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360" w:lineRule="exact" w:before="264" w:after="0"/>
        <w:ind w:left="0" w:right="2502" w:firstLine="0"/>
        <w:jc w:val="right"/>
      </w:pPr>
      <w:r>
        <w:rPr>
          <w:rFonts w:ascii="TimesNewRoman,Bold" w:hAnsi="TimesNewRoman,Bold" w:eastAsia="TimesNewRoman,Bold"/>
          <w:b/>
          <w:i w:val="0"/>
          <w:color w:val="221F1F"/>
          <w:sz w:val="26"/>
        </w:rPr>
        <w:t>TRUST  RECEIPTS  (AMENDMENT)</w:t>
      </w:r>
    </w:p>
    <w:p>
      <w:pPr>
        <w:autoSpaceDN w:val="0"/>
        <w:autoSpaceDE w:val="0"/>
        <w:widowControl/>
        <w:spacing w:line="238" w:lineRule="auto" w:before="250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424" w:after="0"/>
        <w:ind w:left="224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Trust Receipts Ordinance (Chapter 86)</w:t>
      </w:r>
    </w:p>
    <w:p>
      <w:pPr>
        <w:autoSpaceDN w:val="0"/>
        <w:autoSpaceDE w:val="0"/>
        <w:widowControl/>
        <w:spacing w:line="238" w:lineRule="auto" w:before="270" w:after="0"/>
        <w:ind w:left="0" w:right="40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</w:t>
      </w:r>
    </w:p>
    <w:p>
      <w:pPr>
        <w:autoSpaceDN w:val="0"/>
        <w:autoSpaceDE w:val="0"/>
        <w:widowControl/>
        <w:spacing w:line="240" w:lineRule="exact" w:before="236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the Minister of Justice and Prison Reforms </w:t>
      </w:r>
      <w:r>
        <w:rPr>
          <w:rFonts w:ascii="TimesNewRoman,Italic" w:hAnsi="TimesNewRoman,Italic" w:eastAsia="TimesNewRoman,Italic"/>
          <w:b w:val="0"/>
          <w:i/>
          <w:color w:val="221F1F"/>
          <w:sz w:val="20"/>
        </w:rPr>
        <w:t xml:space="preserve">on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18th of September, 2019</w:t>
      </w:r>
    </w:p>
    <w:p>
      <w:pPr>
        <w:autoSpaceDN w:val="0"/>
        <w:autoSpaceDE w:val="0"/>
        <w:widowControl/>
        <w:spacing w:line="238" w:lineRule="auto" w:before="244" w:after="0"/>
        <w:ind w:left="0" w:right="28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July 15, 2019)</w:t>
      </w:r>
    </w:p>
    <w:p>
      <w:pPr>
        <w:autoSpaceDN w:val="0"/>
        <w:autoSpaceDE w:val="0"/>
        <w:widowControl/>
        <w:spacing w:line="238" w:lineRule="auto" w:before="252" w:after="0"/>
        <w:ind w:left="0" w:right="30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3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5" w:lineRule="auto" w:before="10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299]</w:t>
      </w:r>
    </w:p>
    <w:p>
      <w:pPr>
        <w:autoSpaceDN w:val="0"/>
        <w:autoSpaceDE w:val="0"/>
        <w:widowControl/>
        <w:spacing w:line="245" w:lineRule="auto" w:before="124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27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3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6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54" w:lineRule="auto" w:before="216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4 of the Trust Receipts Ordinance (Chapter 86),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legal effect of the section as amended is to provide for the legal consequences of trust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receipts registered under the Secured Transactions Act, No.   of 2019, but not under the </w:t>
      </w:r>
      <w:r>
        <w:rPr>
          <w:rFonts w:ascii="Times" w:hAnsi="Times" w:eastAsia="Times"/>
          <w:b w:val="0"/>
          <w:i w:val="0"/>
          <w:color w:val="221F1F"/>
          <w:sz w:val="16"/>
        </w:rPr>
        <w:t>Registration of Documents Ordinance.</w:t>
      </w:r>
    </w:p>
    <w:p>
      <w:pPr>
        <w:autoSpaceDN w:val="0"/>
        <w:autoSpaceDE w:val="0"/>
        <w:widowControl/>
        <w:spacing w:line="257" w:lineRule="auto" w:before="220" w:after="0"/>
        <w:ind w:left="1436" w:right="1342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3: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makes provisions in regard to the period of enforceability of trust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receipts already registered under the Registration of Documents Ordinance and the requirement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registering those trust receipts under the Secured Transactions Act, No.    of 2019 upon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coming into operation of the said Act in order for them to be further enforceable and for </w:t>
      </w:r>
      <w:r>
        <w:rPr>
          <w:rFonts w:ascii="Times" w:hAnsi="Times" w:eastAsia="Times"/>
          <w:b w:val="0"/>
          <w:i w:val="0"/>
          <w:color w:val="221F1F"/>
          <w:sz w:val="16"/>
        </w:rPr>
        <w:t>their priority to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Trust Receipts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64/2017</w:t>
      </w:r>
    </w:p>
    <w:p>
      <w:pPr>
        <w:autoSpaceDN w:val="0"/>
        <w:autoSpaceDE w:val="0"/>
        <w:widowControl/>
        <w:spacing w:line="235" w:lineRule="auto" w:before="308" w:after="0"/>
        <w:ind w:left="18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RUST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ECEIPTS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86)</w:t>
      </w:r>
    </w:p>
    <w:p>
      <w:pPr>
        <w:autoSpaceDN w:val="0"/>
        <w:autoSpaceDE w:val="0"/>
        <w:widowControl/>
        <w:spacing w:line="238" w:lineRule="auto" w:before="308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 it enacted by the Parliament of the Democratic Socialist</w:t>
      </w:r>
    </w:p>
    <w:p>
      <w:pPr>
        <w:autoSpaceDN w:val="0"/>
        <w:autoSpaceDE w:val="0"/>
        <w:widowControl/>
        <w:spacing w:line="235" w:lineRule="auto" w:before="42" w:after="24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Trust Receipts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of 2019 and shall come into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operation.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operation on such date as the Minister may appoint by Order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8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 of the Trust Receipts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(Chapter 86) is hereby amended in subsection (1)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section, by the substitution for the words “registered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86.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Registration of Documents Ordinance as a bill of sale”,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and figures “registered under the Secured</w:t>
      </w:r>
    </w:p>
    <w:p>
      <w:pPr>
        <w:autoSpaceDN w:val="0"/>
        <w:autoSpaceDE w:val="0"/>
        <w:widowControl/>
        <w:spacing w:line="235" w:lineRule="auto" w:before="42" w:after="248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Transactions Act, No.     of 2019 as a bill of sale”.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on the date of coming into operation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a trust receipt which has been registered under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trust receipts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Registration of Documents Ordinance as a bill of sale is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</w:t>
            </w:r>
          </w:p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force, such trust receipt shall, for a period of two years from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the</w:t>
            </w:r>
          </w:p>
        </w:tc>
      </w:tr>
      <w:tr>
        <w:trPr>
          <w:trHeight w:hRule="exact" w:val="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Registration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coming into operation of this Act, continue to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enforceable, but shall be required to be 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Documents</w:t>
            </w:r>
          </w:p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provisions of the Secured Transactions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Ordinance.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 of 2019 as a bill of sale, prior to the expiration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such two years period.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52" w:lineRule="auto" w:before="22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bill of sale referred to in subsection (1)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being registered under the Secured Transactions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Act, No.      of 2019, be deemed to have been perfected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on which such bill of sale initially became legally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enforceble, and any priority which such bill of sale became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at the time it initially became legally enforceable,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continue to prevail.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970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Trust Receipts (Amendment)</w:t>
      </w:r>
    </w:p>
    <w:p>
      <w:pPr>
        <w:autoSpaceDN w:val="0"/>
        <w:autoSpaceDE w:val="0"/>
        <w:widowControl/>
        <w:spacing w:line="262" w:lineRule="auto" w:before="494" w:after="1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bill of sale referred to in subsection (1) which is not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Secured Transactions Act, No.    of 2019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prior to the expiration of two years from the date of coming </w:t>
      </w:r>
      <w:r>
        <w:rPr>
          <w:rFonts w:ascii="Times" w:hAnsi="Times" w:eastAsia="Times"/>
          <w:b w:val="0"/>
          <w:i w:val="0"/>
          <w:color w:val="000000"/>
          <w:sz w:val="20"/>
        </w:rPr>
        <w:t>into operation of this Act, shall  become legally unenforceable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9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the expiration 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2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5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Trust Receipts (Amendment)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9074" w:after="0"/>
        <w:ind w:left="0" w:right="32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