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82" w:after="0"/>
        <w:ind w:left="3168" w:right="302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October 04,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09.10.2019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7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58" w:val="left"/>
          <w:tab w:pos="2320" w:val="left"/>
          <w:tab w:pos="2538" w:val="left"/>
          <w:tab w:pos="2708" w:val="left"/>
          <w:tab w:pos="4264" w:val="left"/>
          <w:tab w:pos="4466" w:val="left"/>
        </w:tabs>
        <w:autoSpaceDE w:val="0"/>
        <w:widowControl/>
        <w:spacing w:line="456" w:lineRule="auto" w:before="360" w:after="0"/>
        <w:ind w:left="154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NATIONAL INNOVATION AGENCY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establishment of the National Innovation Agency and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for matters connected therewith or incidental thereto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His Excellency the President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28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— O. 33/2019</w:t>
      </w:r>
    </w:p>
    <w:p>
      <w:pPr>
        <w:autoSpaceDN w:val="0"/>
        <w:autoSpaceDE w:val="0"/>
        <w:widowControl/>
        <w:spacing w:line="238" w:lineRule="auto" w:before="24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NATIONAL</w:t>
      </w:r>
    </w:p>
    <w:p>
      <w:pPr>
        <w:autoSpaceDN w:val="0"/>
        <w:autoSpaceDE w:val="0"/>
        <w:widowControl/>
        <w:spacing w:line="238" w:lineRule="auto" w:before="6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INNOVATION</w:t>
      </w:r>
      <w:r>
        <w:rPr>
          <w:rFonts w:ascii="Times" w:hAnsi="Times" w:eastAsia="Times"/>
          <w:b w:val="0"/>
          <w:i w:val="0"/>
          <w:color w:val="221F1F"/>
          <w:sz w:val="14"/>
        </w:rPr>
        <w:t>AGENCY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</w:p>
    <w:p>
      <w:pPr>
        <w:autoSpaceDN w:val="0"/>
        <w:autoSpaceDE w:val="0"/>
        <w:widowControl/>
        <w:spacing w:line="235" w:lineRule="auto" w:before="7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45" w:lineRule="auto" w:before="254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National Innovation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Agency Act, No. of 2019, and shall come into operation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the date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operation.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date as the President may appoint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“the appointed date”)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40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40" w:after="180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NNOVATION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Agency called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“National Innovation Agency”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“Agency”).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Innovation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Agency shall, by the name assigned to it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(1), be a body corporate and shall have perpetual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 and a common seal and may sue and be sued in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Agency shall be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better understanding on social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Agency.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innovation,science and technology innovation,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defence innovation, eco innovation and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 and their impact on the economy;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in order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national policies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innovation;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national research is aligned with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contributes to the economy and national economic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goals;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innovators and initiatives to foster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8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 any obstacles in the public and private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 that hamper innovation;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 and facilitate innovation in private sector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vibrant national innovation eco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system.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functions and duties of the Agency shall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to: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and</w:t>
            </w:r>
          </w:p>
        </w:tc>
      </w:tr>
      <w:tr>
        <w:trPr>
          <w:trHeight w:hRule="exact" w:val="180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330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liaise with the public and private sector institutions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to important aspects of the objects of the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Agency;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to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initiate and fund National Innovation Programmes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support a creative economy;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and sustain a national innovation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ecosystem in keeping with the Sri Lanka Innovation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Entrepreneurship Strategy as approved by the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Cabinet of Ministers;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support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Innovation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Entrepreneurship Strategy objectives through the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facilitation of hi-tech enterprises stemming from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research and technology transfer;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evaluate the effectiveness of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investment, policies and strategies on innovation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entrepreneurship;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harmonize international activities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5635"/>
            <w:gridSpan w:val="5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innovation with the relevant Ministries,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Departments and other innovation institutions in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and with international institutions to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encourage commercialization of the outputs of</w:t>
            </w:r>
          </w:p>
        </w:tc>
        <w:tc>
          <w:tcPr>
            <w:tcW w:type="dxa" w:w="11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innovation activities;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drive the progress of Sri Lanka upward through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ranking of global innovation indices to ensure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resilient economic standing,subject to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Innovation and Entrepreneurship Strategy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Cabinet of Ministers;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receive, collate, evaluate and publish the Sri Lankan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Innovation and entrepreneurship reports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covering the eco system taking into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international linkage and presence;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 any movable or immovable property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 required for the Agency, hold, take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give on lease or hire, mortgage, pledge or sell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dispose of, any movable or immovable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property belonging to the Agency 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expedient with a view to promote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Agency;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applicable written law, to open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current, savings or other deposit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State bank or banks and to close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applicable written law, to accept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receive, gifts, grants, loans, donations and bequests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movable and immovable, from sources in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 for the use of the Agency: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Agency shall obtain prior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Ministry of Finance in respect of 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grants, donations or bequests made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 in any bank account or accounts of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Agency, the funds of the Agency which are not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immediately for the purposes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Agency;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0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in respect of matters pertaining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of affairs of the Agency;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outsource for appropriate payments in compliance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2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relevant financial regulations, research,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collating or any other activities necessary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smooth and efficient discharge of the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of the Agency. The Agency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ownership of all research, any material or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by any person for the purposes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and be responsible for the protection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research, material or 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Cabinet of Ministers to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agreements, with any local or foreign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or institutions in respect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Agency;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facilitate joint ventures with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sector with the approval of the Minister in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achieve the objects of the Agency;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do such acts and things for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achievement of the objects of the Agency.</w:t>
      </w:r>
    </w:p>
    <w:p>
      <w:pPr>
        <w:autoSpaceDN w:val="0"/>
        <w:autoSpaceDE w:val="0"/>
        <w:widowControl/>
        <w:spacing w:line="238" w:lineRule="auto" w:before="252" w:after="192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DMINISTRATION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ANAGEMNT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GENCY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3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 and management of the affairs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Agency shall be vested in a Steering Council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Agency.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“Council”).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16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for the purpose of administering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affairs of the Agency, exercise, discharge and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conferred on, assigned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imposed on the Agency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consist of-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 of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namely,—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494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President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Chairperson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Strategies not below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rank of an Additional Secretary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that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not below the rank of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nominated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8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of National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Planning Department or his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nominee not below the rank of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Director;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254" w:after="6"/>
        <w:ind w:left="3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Intellectual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 of Sri Lanka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2 of the Intellectual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Property Act, No.36 of 2003;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254" w:after="6"/>
        <w:ind w:left="33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Science not below the rank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Secretary nominated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Minister;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254" w:after="6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Technology and Research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an Additional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nominated by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9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</w:tr>
      <w:tr>
        <w:trPr>
          <w:trHeight w:hRule="exact" w:val="4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Trade not below the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 an Additional Secretary</w:t>
            </w:r>
          </w:p>
        </w:tc>
      </w:tr>
      <w:tr>
        <w:trPr>
          <w:trHeight w:hRule="exact" w:val="21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that Minister;</w:t>
            </w:r>
          </w:p>
        </w:tc>
      </w:tr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or his nominee of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Sri Lanka Institute of</w:t>
            </w:r>
          </w:p>
        </w:tc>
      </w:tr>
      <w:tr>
        <w:trPr>
          <w:trHeight w:hRule="exact" w:val="3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Nanotechnology; and</w:t>
            </w:r>
          </w:p>
        </w:tc>
      </w:tr>
      <w:tr>
        <w:trPr>
          <w:trHeight w:hRule="exact" w:val="3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one person who has gained eminence</w:t>
            </w:r>
          </w:p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</w:t>
            </w:r>
          </w:p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entrepreneurship, social innovation,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business, venture capital, education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finance, nominated by the Minister</w:t>
            </w:r>
          </w:p>
        </w:tc>
      </w:tr>
      <w:tr>
        <w:trPr>
          <w:trHeight w:hRule="exact" w:val="3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appointed by the President; and</w:t>
            </w:r>
          </w:p>
        </w:tc>
      </w:tr>
      <w:tr>
        <w:trPr>
          <w:trHeight w:hRule="exact" w:val="32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not more than six persons who have</w:t>
            </w:r>
          </w:p>
        </w:tc>
      </w:tr>
      <w:tr>
        <w:trPr>
          <w:trHeight w:hRule="exact" w:val="24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gained eminence relating to</w:t>
            </w:r>
          </w:p>
        </w:tc>
      </w:tr>
      <w:tr>
        <w:trPr>
          <w:trHeight w:hRule="exact" w:val="23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 entrepreneurship, social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 business, venture capital,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education or finance, both from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and private sectors, appointed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President.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event the subjects referred to in subsection (1)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 within one or more Ministries, then an officer of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Ministry not below the rank of an Additional Secretary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the Minister shall be a member of the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6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not or ceases to be a citizen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member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8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or becomes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or a Provincial Council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2" w:lineRule="auto" w:before="506" w:after="0"/>
        <w:ind w:left="29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has any financial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as is likely to affect the discharge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of his functions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p>
      <w:pPr>
        <w:autoSpaceDN w:val="0"/>
        <w:tabs>
          <w:tab w:pos="2652" w:val="left"/>
          <w:tab w:pos="2998" w:val="left"/>
        </w:tabs>
        <w:autoSpaceDE w:val="0"/>
        <w:widowControl/>
        <w:spacing w:line="259" w:lineRule="auto" w:before="294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under any law in force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in any other country found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to be of unsound mind;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0"/>
        <w:ind w:left="26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an undischarged bankrupt;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698" w:val="left"/>
          <w:tab w:pos="2998" w:val="left"/>
        </w:tabs>
        <w:autoSpaceDE w:val="0"/>
        <w:widowControl/>
        <w:spacing w:line="259" w:lineRule="auto" w:before="29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serving or has served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of imprisonment imposed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in Sri Lanka or any other country,</w:t>
      </w:r>
    </w:p>
    <w:p>
      <w:pPr>
        <w:autoSpaceDN w:val="0"/>
        <w:autoSpaceDE w:val="0"/>
        <w:widowControl/>
        <w:spacing w:line="254" w:lineRule="auto" w:before="292" w:after="22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 be disqualified from being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>continue to be a member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Council shall, unless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vacates office earlier by death, resignation or removal,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office for a period of three years, and unless removed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shall be eligible for re-appointment,for not more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than one further 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Council may at any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resign his office by letter in that behalf addressed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President, and such resignation shall take effect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resignation is accepted in writing by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President 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Council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serve the Council in any other capacity.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45" w:lineRule="auto" w:before="49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221F1F"/>
          <w:sz w:val="20"/>
        </w:rPr>
        <w:t>President shall, subject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6, appoint another person to fill such vacancy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shall hold office for the un-expired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 of office of the member whom he succeeds.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any appointed member of the Council is </w:t>
      </w:r>
      <w:r>
        <w:rPr>
          <w:rFonts w:ascii="Times" w:hAnsi="Times" w:eastAsia="Times"/>
          <w:b w:val="0"/>
          <w:i w:val="0"/>
          <w:color w:val="221F1F"/>
          <w:sz w:val="20"/>
        </w:rPr>
        <w:t>temporarily unable to perform the duties of his office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ill health or any other cause or if he is absent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for a period of not less than three months,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 having regard to the provisions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6, appoint any 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>to act in place of such member during his absence.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4" w:after="4"/>
        <w:ind w:left="13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Council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the Council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prior excuse for absence from the Chairperson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deemed to have vacated his office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conclusion of the third meeting and the President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 another person to fill such vacancy in the manner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in subsection (3).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Chief Innovation Officer of the Agency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14 shall summon all meetings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members may attend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in person or through electronic means.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subsection “electronic means”</w:t>
      </w:r>
      <w:r>
        <w:rPr>
          <w:rFonts w:ascii="Times" w:hAnsi="Times" w:eastAsia="Times"/>
          <w:b w:val="0"/>
          <w:i w:val="0"/>
          <w:color w:val="221F1F"/>
          <w:sz w:val="20"/>
        </w:rPr>
        <w:t>mean, video conferencing and web conferencing.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No act or proceeding of the Council shall be invalid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reason only of the existence of a vacancy in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defect in the appointment of a member of the Council.</w:t>
      </w:r>
    </w:p>
    <w:p>
      <w:pPr>
        <w:autoSpaceDN w:val="0"/>
        <w:autoSpaceDE w:val="0"/>
        <w:widowControl/>
        <w:spacing w:line="247" w:lineRule="auto" w:before="24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Chairperson or in his absence any member elected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members present shall preside at such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78" w:after="15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quorum for any meeting of the Council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members. Where there is an equality of votes,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of the Council shall in addition to his vote </w:t>
      </w:r>
      <w:r>
        <w:rPr>
          <w:rFonts w:ascii="Times" w:hAnsi="Times" w:eastAsia="Times"/>
          <w:b w:val="0"/>
          <w:i w:val="0"/>
          <w:color w:val="221F1F"/>
          <w:sz w:val="20"/>
        </w:rPr>
        <w:t>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may whenever it considers necessary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 o u n c i l  t o</w:t>
            </w:r>
          </w:p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invite experts to any meeting of the Council who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invite experts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expertise on any subject which will be dealt with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meetings.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at such meeting for the purpose of obtaining their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on such subject matter for the effective discharge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Council so however, the Council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absolute discretion of accepting or rejecting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experts.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experts shall be paid such remuneration as may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Council and shall have no voting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Council may be paid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as may be determined by the President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attending</w:t>
            </w:r>
          </w:p>
        </w:tc>
      </w:tr>
      <w:tr>
        <w:trPr>
          <w:trHeight w:hRule="exact" w:val="17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Minister assigned the subject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  <w:tr>
        <w:trPr>
          <w:trHeight w:hRule="exact" w:val="3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The seal of the Agency–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seal of</w:t>
            </w:r>
          </w:p>
        </w:tc>
      </w:tr>
      <w:tr>
        <w:trPr>
          <w:trHeight w:hRule="exact" w:val="416"/>
        </w:trPr>
        <w:tc>
          <w:tcPr>
            <w:tcW w:type="dxa" w:w="1804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determined by the Council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Agency.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Council;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Council may determine,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instrument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document except with the sanction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Council and in the presence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members of the Council who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the instrument or document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token of their presence.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Council shall maintain a register in respect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instruments and documents to which the seal of the Agency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affixed.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6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38" w:lineRule="auto" w:before="310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74" w:after="212"/>
        <w:ind w:left="0" w:right="3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NNOVATION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appointed by the President in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Chief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Council, subject to such terms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determined by the Council, a person possessing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postgraduate degree relating to science or technology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 from a recognized University, with proven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experience to be the Chief Innovation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Agency.He may attend any meeting of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shall not be entitled to vote at any such meeting.</w:t>
            </w:r>
          </w:p>
        </w:tc>
      </w:tr>
    </w:tbl>
    <w:p>
      <w:pPr>
        <w:autoSpaceDN w:val="0"/>
        <w:autoSpaceDE w:val="0"/>
        <w:widowControl/>
        <w:spacing w:line="254" w:lineRule="auto" w:before="202" w:after="21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Chief Innovation Officer shall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directions of the Council be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Chief Innovation Officer shall be paid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as may be determined by the President with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concurrence of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35" w:lineRule="auto" w:before="272" w:after="1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President may on the recommendation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and for reasons assigned therefor remove from office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Innovation Officer appointed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may appoint such number of officers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employees as it may consider necessary for the efficient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Agency may in respect of the officers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appointed under subsection (1)-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or dismiss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officers and employees;</w:t>
      </w:r>
    </w:p>
    <w:p>
      <w:pPr>
        <w:autoSpaceDN w:val="0"/>
        <w:tabs>
          <w:tab w:pos="2314" w:val="left"/>
        </w:tabs>
        <w:autoSpaceDE w:val="0"/>
        <w:widowControl/>
        <w:spacing w:line="250" w:lineRule="auto" w:before="272" w:after="0"/>
        <w:ind w:left="1898" w:right="2592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officers and employees;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0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30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fix as may be determined by the Council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to whom the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Finance is assigned, the rates at which the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employees shall be remunerated;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 staff welfare and social security scheme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benefit of such officers and employees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make contributions to any such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Council, any officer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may, with the consent of that officer and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Service Commission be temporarily appointed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staff of the Agency for such period as may be determined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Council, or with like consent, be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to such staff.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Agency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52" w:lineRule="auto" w:before="266" w:after="206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Agency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Council, any officer or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any Higher Educational Institution established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 officers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Higher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Universities  Act, No. 16 of 1978 may,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of that officer or the employee and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of that Higher Educational Institution,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appointed to the staff of the Agency. 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shall be for a period as may be determined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or with like consent be permanently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staff, on such terms and conditions, including those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pension or provident fund rights, as may be agreed </w:t>
      </w:r>
      <w:r>
        <w:rPr>
          <w:rFonts w:ascii="Times" w:hAnsi="Times" w:eastAsia="Times"/>
          <w:b w:val="0"/>
          <w:i w:val="0"/>
          <w:color w:val="000000"/>
          <w:sz w:val="20"/>
        </w:rPr>
        <w:t>upon by the Council and 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6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45" w:lineRule="auto" w:before="296" w:after="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is temporarily appointed to the staff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 under subsection (1) such person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same disciplinary control as any other member </w:t>
      </w:r>
      <w:r>
        <w:rPr>
          <w:rFonts w:ascii="Times" w:hAnsi="Times" w:eastAsia="Times"/>
          <w:b w:val="0"/>
          <w:i w:val="0"/>
          <w:color w:val="000000"/>
          <w:sz w:val="20"/>
        </w:rPr>
        <w:t>of the staff of the Agency.</w:t>
      </w:r>
    </w:p>
    <w:p>
      <w:pPr>
        <w:autoSpaceDN w:val="0"/>
        <w:tabs>
          <w:tab w:pos="3582" w:val="left"/>
        </w:tabs>
        <w:autoSpaceDE w:val="0"/>
        <w:widowControl/>
        <w:spacing w:line="240" w:lineRule="auto" w:before="236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32" w:after="178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235" w:lineRule="auto" w:before="28" w:after="17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credited to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voted by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from time to time, for the use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Agency;</w:t>
      </w:r>
    </w:p>
    <w:p>
      <w:pPr>
        <w:autoSpaceDN w:val="0"/>
        <w:tabs>
          <w:tab w:pos="2794" w:val="left"/>
        </w:tabs>
        <w:autoSpaceDE w:val="0"/>
        <w:widowControl/>
        <w:spacing w:line="245" w:lineRule="auto" w:before="236" w:after="0"/>
        <w:ind w:left="237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Agency for the exercise, performance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of its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for the promotion of the objects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4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Agency, by way of gifts, grants, loans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 and bequests from any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the proviso to section 4(k);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Agency by way of fees, royalties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charges under this Act.</w:t>
      </w:r>
    </w:p>
    <w:p>
      <w:pPr>
        <w:autoSpaceDN w:val="0"/>
        <w:autoSpaceDE w:val="0"/>
        <w:widowControl/>
        <w:spacing w:line="238" w:lineRule="auto" w:before="238" w:after="2"/>
        <w:ind w:left="1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all such sums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money required to defray the expenditure incurred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Agency in the exercise, performance and discharge of its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6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Agency shall be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 year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audit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Agency shall cause proper books of accounts to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kept of the income and expenditure, assets and liabilities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all other financial transactions of the Agency.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0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30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accounts of the Agency.</w:t>
      </w:r>
    </w:p>
    <w:p>
      <w:pPr>
        <w:autoSpaceDN w:val="0"/>
        <w:autoSpaceDE w:val="0"/>
        <w:widowControl/>
        <w:spacing w:line="235" w:lineRule="auto" w:before="254" w:after="186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shall within six months of the end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financial year submit to the President an annual report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Reports.</w:t>
            </w:r>
          </w:p>
        </w:tc>
      </w:tr>
    </w:tbl>
    <w:p>
      <w:pPr>
        <w:autoSpaceDN w:val="0"/>
        <w:autoSpaceDE w:val="0"/>
        <w:widowControl/>
        <w:spacing w:line="245" w:lineRule="auto" w:before="8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activities carried out by the Agency. 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shall be attached to such report:-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audited accounts of the Agency for the year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along with the Auditor-General’s report;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of proposed activities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following the year to which such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accounts relate;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on the effectiveness of investment,  policies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strategies on innovation and entrepreneurship.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 within three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receipt of the annual report,table such report along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documents specified in subsection (1) in Parliament for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consideration.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Council, and officers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Agency shall before entering upon 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194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sign a declaration pledging himself to observe 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secrecy respecting all matters connected with the working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 and shall by such declaration pledge 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to disclose any matter which may come to his 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discharge of his functions, except–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to do so by a court of law;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comply with any of the provisions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President.</w:t>
            </w:r>
          </w:p>
        </w:tc>
      </w:tr>
      <w:tr>
        <w:trPr>
          <w:trHeight w:hRule="exact" w:val="4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may, from time to time, issue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or special directions to the Council relating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the powers,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and duties under this Act and it shall be the duty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to comply with such directions.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officers and Employees of the Agency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public servants within the meaning and for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Agency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servants.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Agency shall be deemed to be a scheduled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 deemed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Bribery Act and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that Act shall accordingly apply.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may subject to the provisions of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Rules.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4" w:lineRule="auto" w:before="12" w:after="0"/>
        <w:ind w:left="123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make rules in respect of any matter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15 and generally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affairs of the Agency.</w:t>
      </w:r>
    </w:p>
    <w:p>
      <w:pPr>
        <w:autoSpaceDN w:val="0"/>
        <w:tabs>
          <w:tab w:pos="1836" w:val="left"/>
        </w:tabs>
        <w:autoSpaceDE w:val="0"/>
        <w:widowControl/>
        <w:spacing w:line="250" w:lineRule="auto" w:before="276" w:after="216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may make regulations in respect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4" w:lineRule="auto" w:before="12" w:after="0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matters which are required by this Act to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respect of all matters for which regulations are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authorized to be made under this Act.</w:t>
      </w:r>
    </w:p>
    <w:p>
      <w:pPr>
        <w:autoSpaceDN w:val="0"/>
        <w:tabs>
          <w:tab w:pos="1594" w:val="left"/>
          <w:tab w:pos="1596" w:val="left"/>
          <w:tab w:pos="1836" w:val="left"/>
        </w:tabs>
        <w:autoSpaceDE w:val="0"/>
        <w:widowControl/>
        <w:spacing w:line="257" w:lineRule="auto" w:before="276" w:after="0"/>
        <w:ind w:left="126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President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upon such publication or on such later date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specified in the regulation.</w:t>
      </w:r>
    </w:p>
    <w:p>
      <w:pPr>
        <w:autoSpaceDN w:val="0"/>
        <w:tabs>
          <w:tab w:pos="1594" w:val="left"/>
          <w:tab w:pos="1834" w:val="left"/>
        </w:tabs>
        <w:autoSpaceDE w:val="0"/>
        <w:widowControl/>
        <w:spacing w:line="259" w:lineRule="auto" w:before="276" w:after="0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- by the President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within three months from its publication in the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before Parliament for approval. 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rescinded from the date of such disapproval but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prejudice to anything 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0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302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Notice of the date from which a regulation is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0"/>
        <w:ind w:left="0" w:right="4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“innovation” includes–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novel technological model, utility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model or industrial design;</w:t>
      </w:r>
    </w:p>
    <w:p>
      <w:pPr>
        <w:autoSpaceDN w:val="0"/>
        <w:tabs>
          <w:tab w:pos="3716" w:val="left"/>
        </w:tabs>
        <w:autoSpaceDE w:val="0"/>
        <w:widowControl/>
        <w:spacing w:line="245" w:lineRule="auto" w:before="254" w:after="194"/>
        <w:ind w:left="33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product, process, service or idea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is novel;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improved use of a new product,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or method in industry,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business or society;</w:t>
      </w:r>
    </w:p>
    <w:p>
      <w:pPr>
        <w:autoSpaceDN w:val="0"/>
        <w:tabs>
          <w:tab w:pos="3716" w:val="left"/>
        </w:tabs>
        <w:autoSpaceDE w:val="0"/>
        <w:widowControl/>
        <w:spacing w:line="245" w:lineRule="auto" w:before="254" w:after="6"/>
        <w:ind w:left="33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or traditional knowledge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gained by people by making use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natural resources, including plants,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animals and the environment;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the</w:t>
            </w:r>
          </w:p>
        </w:tc>
      </w:tr>
    </w:tbl>
    <w:p>
      <w:pPr>
        <w:autoSpaceDN w:val="0"/>
        <w:tabs>
          <w:tab w:pos="3716" w:val="left"/>
        </w:tabs>
        <w:autoSpaceDE w:val="0"/>
        <w:widowControl/>
        <w:spacing w:line="247" w:lineRule="auto" w:before="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Intellectual Property Act, No.36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2003, any other non-patentable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creations or improvements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deemed as deserving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and protection or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sui generis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intellectual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rights,</w:t>
      </w:r>
    </w:p>
    <w:p>
      <w:pPr>
        <w:autoSpaceDN w:val="0"/>
        <w:tabs>
          <w:tab w:pos="3236" w:val="left"/>
        </w:tabs>
        <w:autoSpaceDE w:val="0"/>
        <w:widowControl/>
        <w:spacing w:line="247" w:lineRule="auto" w:before="254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fields of social innovation, science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technology innovation, defence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innovation, eco innovation and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innovation, and “innovator”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construed accordingly;</w:t>
      </w:r>
    </w:p>
    <w:p>
      <w:pPr>
        <w:autoSpaceDN w:val="0"/>
        <w:tabs>
          <w:tab w:pos="2876" w:val="left"/>
          <w:tab w:pos="3236" w:val="left"/>
        </w:tabs>
        <w:autoSpaceDE w:val="0"/>
        <w:widowControl/>
        <w:spacing w:line="245" w:lineRule="auto" w:before="25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Innovation Agency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43 or 44 of the Constitution;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6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45" w:lineRule="auto" w:before="296" w:after="4"/>
        <w:ind w:left="3036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“National Innovation Ecosystem” means,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diverse nature of participants and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organizations, institutions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people in the country that coexist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 as a unit which is necessary for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0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innovation;</w:t>
      </w:r>
    </w:p>
    <w:p>
      <w:pPr>
        <w:autoSpaceDN w:val="0"/>
        <w:autoSpaceDE w:val="0"/>
        <w:widowControl/>
        <w:spacing w:line="245" w:lineRule="auto" w:before="242" w:after="4"/>
        <w:ind w:left="3036" w:right="259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“Social Innovation Lab” means, a place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uses foresight and innovation tools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7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prototype and test development solutions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social problems, through citizen-centric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engagements to ensure they are agile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holistic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nation-wide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4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implementation;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76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“Technology” means the 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knowledge to meet the goals, goods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 for sustainable development;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52" w:lineRule="auto" w:before="26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“Traditional knowledge” means, the wisdom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developed over generations of holistic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traditional scientific utilization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lands, natural resources, and environment;</w:t>
      </w:r>
    </w:p>
    <w:p>
      <w:pPr>
        <w:autoSpaceDN w:val="0"/>
        <w:autoSpaceDE w:val="0"/>
        <w:widowControl/>
        <w:spacing w:line="252" w:lineRule="auto" w:before="266" w:after="186"/>
        <w:ind w:left="3036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“recognized University” means, a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or deem to be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Universities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  of 1978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318"/>
        </w:trPr>
        <w:tc>
          <w:tcPr>
            <w:tcW w:type="dxa" w:w="44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19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23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