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08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October 11, 2019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15.10.2019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LAND (RESTRICTIONS ON ALIENATION)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334" w:lineRule="exact" w:before="230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16" w:after="0"/>
        <w:ind w:left="0" w:right="24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>amend the Land (Restrictions on Alienation)</w:t>
      </w:r>
    </w:p>
    <w:p>
      <w:pPr>
        <w:autoSpaceDN w:val="0"/>
        <w:autoSpaceDE w:val="0"/>
        <w:widowControl/>
        <w:spacing w:line="238" w:lineRule="auto" w:before="76" w:after="0"/>
        <w:ind w:left="0" w:right="365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Act, No. 38 of 2014</w:t>
      </w:r>
    </w:p>
    <w:p>
      <w:pPr>
        <w:autoSpaceDN w:val="0"/>
        <w:autoSpaceDE w:val="0"/>
        <w:widowControl/>
        <w:spacing w:line="244" w:lineRule="exact" w:before="432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5" w:lineRule="auto" w:before="58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5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6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Land (Restrictions on Alienation) Act, No. 38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2014 and the legal effect of the section as amended is to extend the application of the exemption </w:t>
      </w:r>
      <w:r>
        <w:rPr>
          <w:rFonts w:ascii="Times" w:hAnsi="Times" w:eastAsia="Times"/>
          <w:b w:val="0"/>
          <w:i w:val="0"/>
          <w:color w:val="221F1F"/>
          <w:sz w:val="16"/>
        </w:rPr>
        <w:t>granted for land transactions under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i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that section, to relevant companies which have </w:t>
      </w:r>
      <w:r>
        <w:rPr>
          <w:rFonts w:ascii="Times" w:hAnsi="Times" w:eastAsia="Times"/>
          <w:b w:val="0"/>
          <w:i w:val="0"/>
          <w:color w:val="221F1F"/>
          <w:sz w:val="16"/>
        </w:rPr>
        <w:t>acquired lands prior to April 1, 2018.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Land (Restrictions on Alienation) (Amendment)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66" w:val="left"/>
        </w:tabs>
        <w:autoSpaceDE w:val="0"/>
        <w:widowControl/>
        <w:spacing w:line="406" w:lineRule="auto" w:before="446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34/2019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ESTRICTIONS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LIENATION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67" w:lineRule="auto" w:before="50" w:after="266"/>
        <w:ind w:left="1798" w:right="2304" w:firstLine="15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Land (Restrictions 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Alienation) 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Land (Restrictions on Alienation)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38 of 2014 is hereby amended in subsection (1)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the substitution therefor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 of 2014.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paragraph:—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land, the title of which is transferred, to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2, listed in the Colombo Stock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360"/>
        </w:trPr>
        <w:tc>
          <w:tcPr>
            <w:tcW w:type="dxa" w:w="64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0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2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Land (Restrictions on Alienation)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