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208" w:after="0"/>
        <w:ind w:left="0" w:right="240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FINANCE  LEASING  (AMENDMENT)</w:t>
      </w:r>
    </w:p>
    <w:p>
      <w:pPr>
        <w:autoSpaceDN w:val="0"/>
        <w:autoSpaceDE w:val="0"/>
        <w:widowControl/>
        <w:spacing w:line="238" w:lineRule="auto" w:before="30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64" w:after="0"/>
        <w:ind w:left="0" w:right="249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Finance Leasing Act, No. 56 of 2000</w:t>
      </w:r>
    </w:p>
    <w:p>
      <w:pPr>
        <w:autoSpaceDN w:val="0"/>
        <w:autoSpaceDE w:val="0"/>
        <w:widowControl/>
        <w:spacing w:line="235" w:lineRule="auto" w:before="310" w:after="0"/>
        <w:ind w:left="0" w:right="3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48" w:after="0"/>
        <w:ind w:left="19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Finance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23rd of October, 2019</w:t>
      </w:r>
    </w:p>
    <w:p>
      <w:pPr>
        <w:autoSpaceDN w:val="0"/>
        <w:autoSpaceDE w:val="0"/>
        <w:widowControl/>
        <w:spacing w:line="235" w:lineRule="auto" w:before="326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09, 2019)</w:t>
      </w:r>
    </w:p>
    <w:p>
      <w:pPr>
        <w:autoSpaceDN w:val="0"/>
        <w:autoSpaceDE w:val="0"/>
        <w:widowControl/>
        <w:spacing w:line="238" w:lineRule="auto" w:before="332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0" w:after="0"/>
        <w:ind w:left="1436" w:right="12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2: This clause amends section 24 of the Finance Leasing Act, No. 56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2000, (hereinafter referred to as the “principal enactment”),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amended is to make provisions enabling a lessor to transfer or assign his </w:t>
      </w:r>
      <w:r>
        <w:rPr>
          <w:rFonts w:ascii="Times" w:hAnsi="Times" w:eastAsia="Times"/>
          <w:b w:val="0"/>
          <w:i w:val="0"/>
          <w:color w:val="000000"/>
          <w:sz w:val="16"/>
        </w:rPr>
        <w:t>rights under the lease to any registered establishment without the consent of the lessee.</w:t>
      </w:r>
    </w:p>
    <w:p>
      <w:pPr>
        <w:autoSpaceDN w:val="0"/>
        <w:autoSpaceDE w:val="0"/>
        <w:widowControl/>
        <w:spacing w:line="257" w:lineRule="auto" w:before="222" w:after="0"/>
        <w:ind w:left="1436" w:right="12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3: This clause amends section 26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to require the lessor to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validly perfected his rights under the Secured Transactions Act, No.   of 2019 if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rights under the principal enactment are to be enforced against a trustee in bankruptcy </w:t>
      </w:r>
      <w:r>
        <w:rPr>
          <w:rFonts w:ascii="Times" w:hAnsi="Times" w:eastAsia="Times"/>
          <w:b w:val="0"/>
          <w:i w:val="0"/>
          <w:color w:val="000000"/>
          <w:sz w:val="16"/>
        </w:rPr>
        <w:t>of the lessee or a creditor of the lessee.</w:t>
      </w:r>
    </w:p>
    <w:p>
      <w:pPr>
        <w:autoSpaceDN w:val="0"/>
        <w:autoSpaceDE w:val="0"/>
        <w:widowControl/>
        <w:spacing w:line="257" w:lineRule="auto" w:before="222" w:after="0"/>
        <w:ind w:left="1436" w:right="12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Clause 4: This clause amends section 27 of the principal enactment,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provisions recognizing the right of a lessor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has registered his rights under any finance lease under the Secured Transactions </w:t>
      </w:r>
      <w:r>
        <w:rPr>
          <w:rFonts w:ascii="Times" w:hAnsi="Times" w:eastAsia="Times"/>
          <w:b w:val="0"/>
          <w:i w:val="0"/>
          <w:color w:val="000000"/>
          <w:sz w:val="16"/>
        </w:rPr>
        <w:t>Act, No.   of 2019, to recover possession of an equipment.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Leasing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66/2017</w:t>
      </w:r>
    </w:p>
    <w:p>
      <w:pPr>
        <w:autoSpaceDN w:val="0"/>
        <w:autoSpaceDE w:val="0"/>
        <w:widowControl/>
        <w:spacing w:line="235" w:lineRule="auto" w:before="308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EASING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Finance Leasing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2019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4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Finance Leasing Act, No. 56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2000 (hereinafter referred to as the “principal enactment”)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subsection (1) of that section,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56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 lessor may, with the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2000.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the lessee obtained at the time of entering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finance lease or thereafter, transfer or assign”,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“A lessor may transfer or assign”.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26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“an attachement in execution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equipment.”, of the words and figures “an attachement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such equipment, provided the lessor has validly </w:t>
      </w:r>
      <w:r>
        <w:rPr>
          <w:rFonts w:ascii="Times" w:hAnsi="Times" w:eastAsia="Times"/>
          <w:b w:val="0"/>
          <w:i w:val="0"/>
          <w:color w:val="221F1F"/>
          <w:sz w:val="20"/>
        </w:rPr>
        <w:t>perfected those rights under the Secured Transactions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of 2019.”.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“an equipment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under a provision of a finance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may-”, of the words and figures “an  equipment under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Secured Transactions Act, No.      of 2019 or where there are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 competing claimants, under a provision of a finance lease, </w:t>
      </w:r>
      <w:r>
        <w:rPr>
          <w:rFonts w:ascii="Times" w:hAnsi="Times" w:eastAsia="Times"/>
          <w:b w:val="0"/>
          <w:i w:val="0"/>
          <w:color w:val="221F1F"/>
          <w:sz w:val="20"/>
        </w:rPr>
        <w:t>may-”.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7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Leasing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2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7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Leasing (Amendment)</w:t>
            </w:r>
          </w:p>
        </w:tc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